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1" w:rsidRDefault="002B7108" w:rsidP="002B7108">
      <w:pPr>
        <w:jc w:val="center"/>
        <w:rPr>
          <w:rFonts w:ascii="Arial" w:hAnsi="Arial" w:cs="Arial"/>
          <w:b/>
        </w:rPr>
      </w:pPr>
      <w:r w:rsidRPr="002B7108">
        <w:rPr>
          <w:rFonts w:ascii="Arial" w:hAnsi="Arial" w:cs="Arial"/>
          <w:b/>
        </w:rPr>
        <w:t>AS CONSEQUÊNCIAS DO USO INADEQUADO DE COMPLEMENTOS NUTRICIONAIS POR PRATICANTES DE EXERCÍCIOS FÍSICOS NA ACADEMIA DO MUNICÍPIO DE SERRANOS-MG</w:t>
      </w:r>
    </w:p>
    <w:p w:rsidR="002B7108" w:rsidRDefault="002B7108" w:rsidP="002B7108">
      <w:pPr>
        <w:jc w:val="center"/>
        <w:rPr>
          <w:rFonts w:ascii="Arial" w:hAnsi="Arial" w:cs="Arial"/>
          <w:sz w:val="20"/>
          <w:szCs w:val="20"/>
        </w:rPr>
      </w:pPr>
      <w:r w:rsidRPr="002B7108">
        <w:rPr>
          <w:rFonts w:ascii="Arial" w:hAnsi="Arial" w:cs="Arial"/>
          <w:sz w:val="20"/>
          <w:szCs w:val="20"/>
        </w:rPr>
        <w:t>NOGUEIRA, Ludmilla, BRISKIEWICZ, Bruna</w:t>
      </w:r>
    </w:p>
    <w:p w:rsidR="00EF7315" w:rsidRDefault="00EF7315" w:rsidP="002B7108">
      <w:pPr>
        <w:jc w:val="center"/>
        <w:rPr>
          <w:rFonts w:ascii="Arial" w:hAnsi="Arial" w:cs="Arial"/>
          <w:sz w:val="20"/>
          <w:szCs w:val="20"/>
        </w:rPr>
      </w:pPr>
    </w:p>
    <w:p w:rsidR="00EF7315" w:rsidRPr="00EF7315" w:rsidRDefault="00EF7315" w:rsidP="00EF7315">
      <w:pPr>
        <w:rPr>
          <w:rFonts w:ascii="Arial" w:hAnsi="Arial" w:cs="Arial"/>
          <w:b/>
        </w:rPr>
      </w:pPr>
      <w:r w:rsidRPr="00EF7315">
        <w:rPr>
          <w:rFonts w:ascii="Arial" w:hAnsi="Arial" w:cs="Arial"/>
          <w:b/>
        </w:rPr>
        <w:t>Introdução</w:t>
      </w:r>
    </w:p>
    <w:p w:rsidR="00EF7315" w:rsidRPr="00A3337A" w:rsidRDefault="00EF7315" w:rsidP="00EF7315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A3337A">
        <w:rPr>
          <w:rFonts w:ascii="Arial" w:hAnsi="Arial" w:cs="Arial"/>
        </w:rPr>
        <w:t>De acordo com a resolução CFN nº 380 de 2005 do Conselho Federal de Nutrição, os suplementos nutricionais são definidos como alimentos que servem para complementar, com calorias e/ou nutrientes a dieta diária de uma pessoa saudável, caso haja diagnóstico de insuficiência em algum nutriente, ou quando a dieta requerer suplementação (BRASIL, 2005).</w:t>
      </w:r>
    </w:p>
    <w:p w:rsidR="00EF7315" w:rsidRPr="00A3337A" w:rsidRDefault="00EF7315" w:rsidP="00EF7315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A3337A">
        <w:rPr>
          <w:rFonts w:ascii="Arial" w:hAnsi="Arial" w:cs="Arial"/>
        </w:rPr>
        <w:t xml:space="preserve">A procura por suplementos nutricionais está tornando-se cada vez mais comum entre os frequentadores de academias de ginástica, muitas vezes sem uma orientação adequada. Nesse sentido, o uso de suplementos alimentares está tornando um hábito na vida de praticantes de atividade física, especialmente aquelas pessoas que desejam obter resultados rápidos em pouco tempo. </w:t>
      </w:r>
    </w:p>
    <w:p w:rsidR="00EF7315" w:rsidRDefault="00EF7315" w:rsidP="00EF7315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A3337A">
        <w:rPr>
          <w:rFonts w:ascii="Arial" w:hAnsi="Arial" w:cs="Arial"/>
        </w:rPr>
        <w:t>De acordo com Nabuco (2017) o consumo de suplemento no Brasil tornase cada vez mais comum. Estudos revelam a prevalência de uso excessivo (acima do recomendado pela Sociedade Brasileira de Medicina do Esporte), destacando a falta de conhecimento, por parte dos usuários, sobre o efeito dos suplementos no organismo.</w:t>
      </w:r>
    </w:p>
    <w:p w:rsidR="00EF7315" w:rsidRDefault="00EF7315" w:rsidP="00EF7315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A3337A">
        <w:rPr>
          <w:rFonts w:ascii="Arial" w:hAnsi="Arial" w:cs="Arial"/>
        </w:rPr>
        <w:t>O objetivo geral do estudo é analisar as implicações do uso de suplementos nutricionais por pra</w:t>
      </w:r>
      <w:r>
        <w:rPr>
          <w:rFonts w:ascii="Arial" w:hAnsi="Arial" w:cs="Arial"/>
        </w:rPr>
        <w:t xml:space="preserve">ticantes de atividade física em uma </w:t>
      </w:r>
      <w:r w:rsidRPr="00A3337A">
        <w:rPr>
          <w:rFonts w:ascii="Arial" w:hAnsi="Arial" w:cs="Arial"/>
        </w:rPr>
        <w:t>academia</w:t>
      </w:r>
      <w:r>
        <w:rPr>
          <w:rFonts w:ascii="Arial" w:hAnsi="Arial" w:cs="Arial"/>
        </w:rPr>
        <w:t xml:space="preserve"> do municipio de Serranos – MG.</w:t>
      </w:r>
      <w:bookmarkStart w:id="0" w:name="_Toc131030488"/>
      <w:r w:rsidRPr="00A3337A">
        <w:rPr>
          <w:rFonts w:ascii="Arial" w:hAnsi="Arial" w:cs="Arial"/>
        </w:rPr>
        <w:t>Os objetivos especificos do estudo é identificar os riscos associados ao uso inadequado de suplementos alimentares</w:t>
      </w:r>
      <w:bookmarkEnd w:id="0"/>
      <w:r w:rsidRPr="00A3337A">
        <w:rPr>
          <w:rFonts w:ascii="Arial" w:hAnsi="Arial" w:cs="Arial"/>
        </w:rPr>
        <w:t xml:space="preserve"> e explicar a importância do nutricionista na recomendação de dietas e suplementos alimentares específicos para hipertrofia muscular ou emagrecimento. </w:t>
      </w:r>
    </w:p>
    <w:p w:rsidR="00EF7315" w:rsidRDefault="00EF7315" w:rsidP="00EF7315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EF7315" w:rsidRDefault="00EF7315" w:rsidP="00EF7315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EF7315">
        <w:rPr>
          <w:rFonts w:ascii="Arial" w:hAnsi="Arial" w:cs="Arial"/>
          <w:b/>
          <w:sz w:val="22"/>
          <w:szCs w:val="22"/>
        </w:rPr>
        <w:t>Materiais e Métodos</w:t>
      </w:r>
    </w:p>
    <w:p w:rsidR="00EF7315" w:rsidRPr="00A3337A" w:rsidRDefault="00EF7315" w:rsidP="00EF73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37A">
        <w:rPr>
          <w:rFonts w:ascii="Arial" w:hAnsi="Arial" w:cs="Arial"/>
          <w:sz w:val="24"/>
          <w:szCs w:val="24"/>
        </w:rPr>
        <w:t xml:space="preserve">A metodologia do trabalho </w:t>
      </w:r>
      <w:r>
        <w:rPr>
          <w:rFonts w:ascii="Arial" w:hAnsi="Arial" w:cs="Arial"/>
          <w:sz w:val="24"/>
          <w:szCs w:val="24"/>
        </w:rPr>
        <w:t>foi</w:t>
      </w:r>
      <w:r w:rsidRPr="00A3337A">
        <w:rPr>
          <w:rFonts w:ascii="Arial" w:hAnsi="Arial" w:cs="Arial"/>
          <w:sz w:val="24"/>
          <w:szCs w:val="24"/>
        </w:rPr>
        <w:t xml:space="preserve"> baseada em uma análise qualitativa dos dados coletados, </w:t>
      </w:r>
      <w:r>
        <w:rPr>
          <w:rFonts w:ascii="Arial" w:hAnsi="Arial" w:cs="Arial"/>
          <w:sz w:val="24"/>
          <w:szCs w:val="24"/>
        </w:rPr>
        <w:t>o</w:t>
      </w:r>
      <w:r w:rsidRPr="00A3337A">
        <w:rPr>
          <w:rFonts w:ascii="Arial" w:hAnsi="Arial" w:cs="Arial"/>
          <w:sz w:val="24"/>
          <w:szCs w:val="24"/>
        </w:rPr>
        <w:t xml:space="preserve"> método utilizado para levantamento de dados será o Estudo de Caso, serão aplicados questionários em indivíduos, do sexo masculino e </w:t>
      </w:r>
      <w:r w:rsidRPr="00A3337A">
        <w:rPr>
          <w:rFonts w:ascii="Arial" w:hAnsi="Arial" w:cs="Arial"/>
          <w:sz w:val="24"/>
          <w:szCs w:val="24"/>
        </w:rPr>
        <w:lastRenderedPageBreak/>
        <w:t xml:space="preserve">sexo feminino, com idades entre </w:t>
      </w:r>
      <w:r>
        <w:rPr>
          <w:rFonts w:ascii="Arial" w:hAnsi="Arial" w:cs="Arial"/>
          <w:sz w:val="24"/>
          <w:szCs w:val="24"/>
        </w:rPr>
        <w:t>14</w:t>
      </w:r>
      <w:r w:rsidRPr="00A3337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51</w:t>
      </w:r>
      <w:r w:rsidRPr="00A3337A">
        <w:rPr>
          <w:rFonts w:ascii="Arial" w:hAnsi="Arial" w:cs="Arial"/>
          <w:sz w:val="24"/>
          <w:szCs w:val="24"/>
        </w:rPr>
        <w:t xml:space="preserve"> anos, em</w:t>
      </w:r>
      <w:r>
        <w:rPr>
          <w:rFonts w:ascii="Arial" w:hAnsi="Arial" w:cs="Arial"/>
          <w:sz w:val="24"/>
          <w:szCs w:val="24"/>
        </w:rPr>
        <w:t xml:space="preserve"> uma academia de ginástica no</w:t>
      </w:r>
      <w:r w:rsidRPr="00A3337A">
        <w:rPr>
          <w:rFonts w:ascii="Arial" w:hAnsi="Arial" w:cs="Arial"/>
          <w:sz w:val="24"/>
          <w:szCs w:val="24"/>
        </w:rPr>
        <w:t xml:space="preserve"> município</w:t>
      </w:r>
      <w:r>
        <w:rPr>
          <w:rFonts w:ascii="Arial" w:hAnsi="Arial" w:cs="Arial"/>
          <w:sz w:val="24"/>
          <w:szCs w:val="24"/>
        </w:rPr>
        <w:t xml:space="preserve"> de Serranos do estado em Minas Gerais. </w:t>
      </w:r>
    </w:p>
    <w:p w:rsidR="00EF7315" w:rsidRDefault="00EF7315" w:rsidP="00EF7315">
      <w:pPr>
        <w:pStyle w:val="Corpodetexto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Além disso, foi </w:t>
      </w:r>
      <w:r w:rsidRPr="00A3337A">
        <w:rPr>
          <w:rFonts w:ascii="Arial" w:hAnsi="Arial" w:cs="Arial"/>
        </w:rPr>
        <w:t xml:space="preserve">realizado um levantamento bibliográfico em diversas plataformas, tais como: Google Acadêmico, Scielo, Biblioteca Virtual, dentre outros, utilizando os descritores: acompanhamento nutricional, suplementos alimentares, problemas de saúde associados ao uso de suplementos sem acompanhamento. </w:t>
      </w:r>
      <w:r>
        <w:rPr>
          <w:rFonts w:ascii="Arial" w:hAnsi="Arial" w:cs="Arial"/>
        </w:rPr>
        <w:t>Os próximos tópicos apresentam os resultados da análise dos dados coletados, a discussão teórica acerca da temática e as considerações finais do estudo.</w:t>
      </w:r>
    </w:p>
    <w:p w:rsidR="00EF7315" w:rsidRDefault="00EF7315" w:rsidP="00EF7315">
      <w:pPr>
        <w:pStyle w:val="Corpodetexto"/>
        <w:spacing w:line="360" w:lineRule="auto"/>
        <w:ind w:firstLine="709"/>
        <w:rPr>
          <w:rFonts w:ascii="Arial" w:hAnsi="Arial" w:cs="Arial"/>
        </w:rPr>
      </w:pPr>
    </w:p>
    <w:p w:rsidR="00EF7315" w:rsidRPr="00EF7315" w:rsidRDefault="00EF7315" w:rsidP="00EF7315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EF7315">
        <w:rPr>
          <w:rFonts w:ascii="Arial" w:hAnsi="Arial" w:cs="Arial"/>
          <w:b/>
          <w:sz w:val="22"/>
          <w:szCs w:val="22"/>
        </w:rPr>
        <w:t>Resultados e Discussão</w:t>
      </w:r>
    </w:p>
    <w:p w:rsidR="00EF7315" w:rsidRDefault="00EF7315" w:rsidP="00EF7315">
      <w:pPr>
        <w:pStyle w:val="Ttulo1"/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AF7091">
        <w:rPr>
          <w:b w:val="0"/>
          <w:sz w:val="24"/>
          <w:szCs w:val="24"/>
        </w:rPr>
        <w:t>O questionário desenvolvido</w:t>
      </w:r>
      <w:r>
        <w:rPr>
          <w:b w:val="0"/>
          <w:sz w:val="24"/>
          <w:szCs w:val="24"/>
        </w:rPr>
        <w:t xml:space="preserve"> para o estudo de caso</w:t>
      </w:r>
      <w:r w:rsidRPr="00AF7091">
        <w:rPr>
          <w:b w:val="0"/>
          <w:sz w:val="24"/>
          <w:szCs w:val="24"/>
        </w:rPr>
        <w:t xml:space="preserve"> é composto por perguntas </w:t>
      </w:r>
      <w:r>
        <w:rPr>
          <w:b w:val="0"/>
          <w:sz w:val="24"/>
          <w:szCs w:val="24"/>
        </w:rPr>
        <w:t>subjetivas e objetivas</w:t>
      </w:r>
      <w:r w:rsidRPr="00AF7091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tais como: idade, gênero, </w:t>
      </w:r>
      <w:r w:rsidRPr="00AF7091">
        <w:rPr>
          <w:b w:val="0"/>
          <w:sz w:val="24"/>
          <w:szCs w:val="24"/>
        </w:rPr>
        <w:t>supl</w:t>
      </w:r>
      <w:r>
        <w:rPr>
          <w:b w:val="0"/>
          <w:sz w:val="24"/>
          <w:szCs w:val="24"/>
        </w:rPr>
        <w:t xml:space="preserve">ementos nutricionais utilizados, </w:t>
      </w:r>
      <w:r w:rsidRPr="00AF7091">
        <w:rPr>
          <w:b w:val="0"/>
          <w:sz w:val="24"/>
          <w:szCs w:val="24"/>
        </w:rPr>
        <w:t>motivação para o uso de suplementos</w:t>
      </w:r>
      <w:r>
        <w:rPr>
          <w:b w:val="0"/>
          <w:sz w:val="24"/>
          <w:szCs w:val="24"/>
        </w:rPr>
        <w:t>, s</w:t>
      </w:r>
      <w:r w:rsidRPr="00AF7091">
        <w:rPr>
          <w:b w:val="0"/>
          <w:sz w:val="24"/>
          <w:szCs w:val="24"/>
        </w:rPr>
        <w:t>e já realizou acompanhamento com nutricionista</w:t>
      </w:r>
      <w:r>
        <w:rPr>
          <w:b w:val="0"/>
          <w:sz w:val="24"/>
          <w:szCs w:val="24"/>
        </w:rPr>
        <w:t>, objetivo do teinamento na academia, d</w:t>
      </w:r>
      <w:r w:rsidRPr="00AF7091">
        <w:rPr>
          <w:b w:val="0"/>
          <w:sz w:val="24"/>
          <w:szCs w:val="24"/>
        </w:rPr>
        <w:t>entre outros</w:t>
      </w:r>
      <w:r>
        <w:rPr>
          <w:b w:val="0"/>
          <w:sz w:val="24"/>
          <w:szCs w:val="24"/>
        </w:rPr>
        <w:t xml:space="preserve">. Os resultados dos questionários foram sintetizados em três tabelas. A tabela abaixo apresenta as </w:t>
      </w:r>
      <w:r w:rsidRPr="00AF7091">
        <w:rPr>
          <w:b w:val="0"/>
          <w:sz w:val="24"/>
          <w:szCs w:val="24"/>
        </w:rPr>
        <w:t>características pessoais dos praticantes de musculação de academia da cidade de Serranos</w:t>
      </w:r>
      <w:r>
        <w:rPr>
          <w:b w:val="0"/>
          <w:sz w:val="24"/>
          <w:szCs w:val="24"/>
        </w:rPr>
        <w:t xml:space="preserve"> no estado de </w:t>
      </w:r>
      <w:r w:rsidRPr="00AF7091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inas </w:t>
      </w:r>
      <w:r w:rsidRPr="00AF7091">
        <w:rPr>
          <w:b w:val="0"/>
          <w:sz w:val="24"/>
          <w:szCs w:val="24"/>
        </w:rPr>
        <w:t>G</w:t>
      </w:r>
      <w:r>
        <w:rPr>
          <w:b w:val="0"/>
          <w:sz w:val="24"/>
          <w:szCs w:val="24"/>
        </w:rPr>
        <w:t xml:space="preserve">erais. </w:t>
      </w:r>
    </w:p>
    <w:p w:rsidR="000F248A" w:rsidRPr="00347991" w:rsidRDefault="000F248A" w:rsidP="000F248A">
      <w:pPr>
        <w:jc w:val="center"/>
        <w:rPr>
          <w:rFonts w:ascii="Arial" w:hAnsi="Arial" w:cs="Arial"/>
        </w:rPr>
      </w:pPr>
      <w:r w:rsidRPr="00E746BC">
        <w:rPr>
          <w:rFonts w:ascii="Arial" w:hAnsi="Arial" w:cs="Arial"/>
          <w:b/>
        </w:rPr>
        <w:t>Tabela 1.</w:t>
      </w:r>
      <w:r w:rsidRPr="00E746BC">
        <w:rPr>
          <w:rFonts w:ascii="Arial" w:hAnsi="Arial" w:cs="Arial"/>
        </w:rPr>
        <w:t xml:space="preserve"> Características pessoais dos praticantes de musculação de academia da cidade de </w:t>
      </w:r>
      <w:proofErr w:type="spellStart"/>
      <w:r w:rsidRPr="00E746BC">
        <w:rPr>
          <w:rFonts w:ascii="Arial" w:hAnsi="Arial" w:cs="Arial"/>
        </w:rPr>
        <w:t>Serranos-MG</w:t>
      </w:r>
      <w:proofErr w:type="spellEnd"/>
    </w:p>
    <w:tbl>
      <w:tblPr>
        <w:tblStyle w:val="SombreamentoMdio2-nfase5"/>
        <w:tblW w:w="5000" w:type="pct"/>
        <w:tblLook w:val="0660"/>
      </w:tblPr>
      <w:tblGrid>
        <w:gridCol w:w="2180"/>
        <w:gridCol w:w="2180"/>
        <w:gridCol w:w="2180"/>
        <w:gridCol w:w="2180"/>
      </w:tblGrid>
      <w:tr w:rsidR="000F248A" w:rsidTr="001E372F">
        <w:trPr>
          <w:cnfStyle w:val="100000000000"/>
        </w:trPr>
        <w:tc>
          <w:tcPr>
            <w:tcW w:w="1250" w:type="pct"/>
            <w:noWrap/>
          </w:tcPr>
          <w:p w:rsidR="000F248A" w:rsidRDefault="000F248A" w:rsidP="001E372F">
            <w:r>
              <w:t>Tabela 1</w:t>
            </w:r>
          </w:p>
        </w:tc>
        <w:tc>
          <w:tcPr>
            <w:tcW w:w="1250" w:type="pct"/>
          </w:tcPr>
          <w:p w:rsidR="000F248A" w:rsidRDefault="000F248A" w:rsidP="001E372F">
            <w:r>
              <w:t>Variável</w:t>
            </w:r>
          </w:p>
        </w:tc>
        <w:tc>
          <w:tcPr>
            <w:tcW w:w="1250" w:type="pct"/>
          </w:tcPr>
          <w:p w:rsidR="000F248A" w:rsidRDefault="000F248A" w:rsidP="001E372F">
            <w:r>
              <w:t>Categoria</w:t>
            </w:r>
          </w:p>
        </w:tc>
        <w:tc>
          <w:tcPr>
            <w:tcW w:w="1250" w:type="pct"/>
          </w:tcPr>
          <w:p w:rsidR="000F248A" w:rsidRDefault="000F248A" w:rsidP="001E372F">
            <w:r>
              <w:t xml:space="preserve">   Nº</w:t>
            </w: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>
            <w:r>
              <w:t xml:space="preserve">  </w:t>
            </w:r>
          </w:p>
        </w:tc>
        <w:tc>
          <w:tcPr>
            <w:tcW w:w="1250" w:type="pct"/>
          </w:tcPr>
          <w:p w:rsidR="000F248A" w:rsidRPr="00755C60" w:rsidRDefault="000F248A" w:rsidP="001E372F">
            <w:pPr>
              <w:rPr>
                <w:rStyle w:val="nfaseSutil"/>
                <w:i w:val="0"/>
                <w:color w:val="000000" w:themeColor="text1"/>
              </w:rPr>
            </w:pPr>
            <w:r>
              <w:rPr>
                <w:rStyle w:val="nfaseSutil"/>
                <w:color w:val="000000" w:themeColor="text1"/>
              </w:rPr>
              <w:t>Gênero</w:t>
            </w:r>
          </w:p>
        </w:tc>
        <w:tc>
          <w:tcPr>
            <w:tcW w:w="1250" w:type="pct"/>
          </w:tcPr>
          <w:p w:rsidR="000F248A" w:rsidRDefault="000F248A" w:rsidP="001E372F">
            <w:r>
              <w:t>Masculino</w:t>
            </w:r>
          </w:p>
        </w:tc>
        <w:tc>
          <w:tcPr>
            <w:tcW w:w="1250" w:type="pct"/>
          </w:tcPr>
          <w:p w:rsidR="000F248A" w:rsidRDefault="000F248A" w:rsidP="001E372F">
            <w:r>
              <w:t xml:space="preserve">   13</w:t>
            </w: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Gênero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Feminino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12</w:t>
            </w: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Total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-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Idade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&lt;20 anos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proofErr w:type="gramStart"/>
            <w:r>
              <w:t>9</w:t>
            </w:r>
            <w:proofErr w:type="gramEnd"/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20 a 30 anos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proofErr w:type="gramStart"/>
            <w:r>
              <w:t>8</w:t>
            </w:r>
            <w:proofErr w:type="gramEnd"/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31 a 40 anos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proofErr w:type="gramStart"/>
            <w:r>
              <w:t>4</w:t>
            </w:r>
            <w:proofErr w:type="gramEnd"/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rPr>
                <w:rStyle w:val="nfaseSutil"/>
              </w:rPr>
            </w:pPr>
          </w:p>
        </w:tc>
        <w:tc>
          <w:tcPr>
            <w:tcW w:w="1250" w:type="pct"/>
          </w:tcPr>
          <w:p w:rsidR="000F248A" w:rsidRDefault="000F248A" w:rsidP="001E372F">
            <w:r>
              <w:t xml:space="preserve">   41 a 50 anos</w:t>
            </w:r>
          </w:p>
        </w:tc>
        <w:tc>
          <w:tcPr>
            <w:tcW w:w="1250" w:type="pct"/>
          </w:tcPr>
          <w:p w:rsidR="000F248A" w:rsidRDefault="000F248A" w:rsidP="001E372F">
            <w:r>
              <w:t xml:space="preserve">     </w:t>
            </w:r>
            <w:proofErr w:type="gramStart"/>
            <w:r>
              <w:t>4</w:t>
            </w:r>
            <w:proofErr w:type="gramEnd"/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51 a 60 anos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-</w:t>
            </w: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&gt; 60 anos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-</w:t>
            </w: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 xml:space="preserve">   NQR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-</w:t>
            </w: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 xml:space="preserve">  Total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Escolaridade</w:t>
            </w:r>
          </w:p>
          <w:p w:rsidR="000F248A" w:rsidRDefault="000F248A" w:rsidP="001E372F">
            <w:pPr>
              <w:pStyle w:val="DecimalAligned"/>
            </w:pPr>
          </w:p>
          <w:p w:rsidR="000F248A" w:rsidRDefault="000F248A" w:rsidP="001E372F">
            <w:pPr>
              <w:pStyle w:val="DecimalAligned"/>
            </w:pPr>
          </w:p>
          <w:p w:rsidR="000F248A" w:rsidRDefault="000F248A" w:rsidP="001E372F">
            <w:pPr>
              <w:pStyle w:val="DecimalAligned"/>
            </w:pPr>
          </w:p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Ensino Médio Fundamental completo</w:t>
            </w:r>
          </w:p>
          <w:p w:rsidR="000F248A" w:rsidRDefault="000F248A" w:rsidP="001E372F">
            <w:pPr>
              <w:pStyle w:val="DecimalAligned"/>
            </w:pPr>
            <w:r>
              <w:t>Ensino Médio Completo</w:t>
            </w:r>
          </w:p>
          <w:p w:rsidR="000F248A" w:rsidRDefault="000F248A" w:rsidP="001E372F">
            <w:pPr>
              <w:pStyle w:val="DecimalAligned"/>
            </w:pPr>
            <w:r>
              <w:t xml:space="preserve">Superior Completo                              </w:t>
            </w:r>
          </w:p>
          <w:p w:rsidR="000F248A" w:rsidRDefault="000F248A" w:rsidP="001E372F">
            <w:pPr>
              <w:pStyle w:val="DecimalAligned"/>
            </w:pPr>
            <w:r>
              <w:t>Superior Incompleto</w:t>
            </w:r>
          </w:p>
          <w:p w:rsidR="000F248A" w:rsidRDefault="000F248A" w:rsidP="001E372F">
            <w:pPr>
              <w:pStyle w:val="DecimalAligned"/>
            </w:pPr>
            <w:proofErr w:type="gramStart"/>
            <w:r>
              <w:lastRenderedPageBreak/>
              <w:t>Pós graduação</w:t>
            </w:r>
            <w:proofErr w:type="gramEnd"/>
          </w:p>
          <w:p w:rsidR="000F248A" w:rsidRDefault="000F248A" w:rsidP="001E372F">
            <w:pPr>
              <w:pStyle w:val="DecimalAligned"/>
            </w:pPr>
            <w:r>
              <w:t>NQR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proofErr w:type="gramStart"/>
            <w:r>
              <w:lastRenderedPageBreak/>
              <w:t>7</w:t>
            </w:r>
            <w:proofErr w:type="gramEnd"/>
          </w:p>
          <w:p w:rsidR="000F248A" w:rsidRDefault="000F248A" w:rsidP="001E372F">
            <w:pPr>
              <w:pStyle w:val="DecimalAligned"/>
            </w:pPr>
          </w:p>
          <w:p w:rsidR="000F248A" w:rsidRDefault="000F248A" w:rsidP="001E372F">
            <w:pPr>
              <w:pStyle w:val="DecimalAligned"/>
            </w:pPr>
          </w:p>
          <w:p w:rsidR="000F248A" w:rsidRDefault="000F248A" w:rsidP="001E372F">
            <w:pPr>
              <w:pStyle w:val="DecimalAligned"/>
            </w:pPr>
            <w:proofErr w:type="gramStart"/>
            <w:r>
              <w:t>6</w:t>
            </w:r>
            <w:proofErr w:type="gramEnd"/>
          </w:p>
          <w:p w:rsidR="000F248A" w:rsidRDefault="000F248A" w:rsidP="001E372F">
            <w:pPr>
              <w:pStyle w:val="DecimalAligned"/>
            </w:pPr>
          </w:p>
          <w:p w:rsidR="000F248A" w:rsidRDefault="000F248A" w:rsidP="001E372F">
            <w:pPr>
              <w:pStyle w:val="DecimalAligned"/>
            </w:pPr>
            <w:proofErr w:type="gramStart"/>
            <w:r>
              <w:t>9</w:t>
            </w:r>
            <w:proofErr w:type="gramEnd"/>
          </w:p>
          <w:p w:rsidR="000F248A" w:rsidRDefault="000F248A" w:rsidP="001E372F">
            <w:pPr>
              <w:pStyle w:val="DecimalAligned"/>
            </w:pPr>
            <w:proofErr w:type="gramStart"/>
            <w:r>
              <w:t>3</w:t>
            </w:r>
            <w:proofErr w:type="gramEnd"/>
          </w:p>
          <w:p w:rsidR="000F248A" w:rsidRDefault="000F248A" w:rsidP="001E372F">
            <w:pPr>
              <w:pStyle w:val="DecimalAligned"/>
            </w:pPr>
            <w:r>
              <w:lastRenderedPageBreak/>
              <w:t>-</w:t>
            </w:r>
          </w:p>
          <w:p w:rsidR="000F248A" w:rsidRDefault="000F248A" w:rsidP="001E372F">
            <w:pPr>
              <w:pStyle w:val="DecimalAligned"/>
            </w:pPr>
            <w:r>
              <w:t>-</w:t>
            </w:r>
          </w:p>
        </w:tc>
      </w:tr>
      <w:tr w:rsidR="000F248A" w:rsidTr="001E372F">
        <w:trPr>
          <w:cnfStyle w:val="010000000000"/>
        </w:trPr>
        <w:tc>
          <w:tcPr>
            <w:tcW w:w="1250" w:type="pct"/>
            <w:noWrap/>
          </w:tcPr>
          <w:p w:rsidR="000F248A" w:rsidRDefault="000F248A" w:rsidP="001E372F">
            <w:r>
              <w:lastRenderedPageBreak/>
              <w:t>Total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-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-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 xml:space="preserve">     25</w:t>
            </w:r>
          </w:p>
        </w:tc>
      </w:tr>
    </w:tbl>
    <w:p w:rsidR="000F248A" w:rsidRDefault="000F248A" w:rsidP="000F248A">
      <w:pPr>
        <w:pStyle w:val="Textodenotaderodap"/>
      </w:pPr>
      <w:r>
        <w:rPr>
          <w:rStyle w:val="nfaseSutil"/>
        </w:rPr>
        <w:t>Fonte:</w:t>
      </w:r>
      <w:r>
        <w:t xml:space="preserve"> </w:t>
      </w:r>
      <w:proofErr w:type="gramStart"/>
      <w:r>
        <w:t>NOGUEIRA,</w:t>
      </w:r>
      <w:proofErr w:type="gramEnd"/>
      <w:r>
        <w:t>Ludmilla (2023)</w:t>
      </w:r>
    </w:p>
    <w:p w:rsidR="000F248A" w:rsidRDefault="000F248A" w:rsidP="000F248A">
      <w:pPr>
        <w:pStyle w:val="Textodenotaderodap"/>
      </w:pPr>
    </w:p>
    <w:p w:rsidR="000F248A" w:rsidRDefault="000F248A" w:rsidP="000F24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total, vinte e cinco pessoas responderam o questionário disponível em anexo do estudo, observando as respostas dos participantes</w:t>
      </w:r>
      <w:r w:rsidRPr="00E746BC">
        <w:rPr>
          <w:rFonts w:ascii="Arial" w:hAnsi="Arial" w:cs="Arial"/>
          <w:sz w:val="24"/>
          <w:szCs w:val="24"/>
        </w:rPr>
        <w:t xml:space="preserve"> percebe-se que 55% dos que </w:t>
      </w:r>
      <w:proofErr w:type="spellStart"/>
      <w:r w:rsidRPr="00E746BC">
        <w:rPr>
          <w:rFonts w:ascii="Arial" w:hAnsi="Arial" w:cs="Arial"/>
          <w:sz w:val="24"/>
          <w:szCs w:val="24"/>
        </w:rPr>
        <w:t>frequentam</w:t>
      </w:r>
      <w:proofErr w:type="spellEnd"/>
      <w:r>
        <w:rPr>
          <w:rFonts w:ascii="Arial" w:hAnsi="Arial" w:cs="Arial"/>
          <w:sz w:val="24"/>
          <w:szCs w:val="24"/>
        </w:rPr>
        <w:t xml:space="preserve"> a academia são homens e 45% mulheres. Além disso, 36% dos que </w:t>
      </w:r>
      <w:proofErr w:type="spellStart"/>
      <w:r>
        <w:rPr>
          <w:rFonts w:ascii="Arial" w:hAnsi="Arial" w:cs="Arial"/>
          <w:sz w:val="24"/>
          <w:szCs w:val="24"/>
        </w:rPr>
        <w:t>frequentam</w:t>
      </w:r>
      <w:proofErr w:type="spellEnd"/>
      <w:r>
        <w:rPr>
          <w:rFonts w:ascii="Arial" w:hAnsi="Arial" w:cs="Arial"/>
          <w:sz w:val="24"/>
          <w:szCs w:val="24"/>
        </w:rPr>
        <w:t xml:space="preserve"> a academia tem menos de 20 anos de idade e compõem a parcela do Ensino Médio e Fundamental incompleto. </w:t>
      </w:r>
    </w:p>
    <w:p w:rsidR="000F248A" w:rsidRDefault="000F248A" w:rsidP="000F248A">
      <w:pPr>
        <w:spacing w:after="0" w:line="360" w:lineRule="auto"/>
        <w:ind w:firstLine="709"/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 xml:space="preserve">Os que </w:t>
      </w:r>
      <w:proofErr w:type="spellStart"/>
      <w:r>
        <w:rPr>
          <w:rFonts w:ascii="Arial" w:hAnsi="Arial" w:cs="Arial"/>
          <w:sz w:val="24"/>
          <w:szCs w:val="24"/>
        </w:rPr>
        <w:t>frequentam</w:t>
      </w:r>
      <w:proofErr w:type="spellEnd"/>
      <w:r>
        <w:rPr>
          <w:rFonts w:ascii="Arial" w:hAnsi="Arial" w:cs="Arial"/>
          <w:sz w:val="24"/>
          <w:szCs w:val="24"/>
        </w:rPr>
        <w:t xml:space="preserve"> a academia e apresentam idade superior aos 31 anos de idade apresentam Ensino Superior Completo. A segunda tabela apresenta os dados sintetizados acerca do objetivo do exercício físico dos que freqüentam academia. </w:t>
      </w:r>
    </w:p>
    <w:p w:rsidR="000F248A" w:rsidRDefault="000F248A" w:rsidP="000F248A">
      <w:pPr>
        <w:rPr>
          <w:b/>
        </w:rPr>
      </w:pPr>
    </w:p>
    <w:p w:rsidR="000F248A" w:rsidRPr="00347991" w:rsidRDefault="000F248A" w:rsidP="000F248A">
      <w:pPr>
        <w:jc w:val="center"/>
        <w:rPr>
          <w:rFonts w:ascii="Arial" w:hAnsi="Arial" w:cs="Arial"/>
        </w:rPr>
      </w:pPr>
      <w:r w:rsidRPr="00AE4AC7">
        <w:rPr>
          <w:rFonts w:ascii="Arial" w:hAnsi="Arial" w:cs="Arial"/>
          <w:b/>
        </w:rPr>
        <w:t>Tabela 2.</w:t>
      </w:r>
      <w:r w:rsidRPr="00AE4AC7">
        <w:rPr>
          <w:rFonts w:ascii="Arial" w:hAnsi="Arial" w:cs="Arial"/>
        </w:rPr>
        <w:t xml:space="preserve"> Objetivo do Exercício Físico dos praticantes de musculação de academia da cidade de </w:t>
      </w:r>
      <w:proofErr w:type="spellStart"/>
      <w:r w:rsidRPr="00AE4AC7">
        <w:rPr>
          <w:rFonts w:ascii="Arial" w:hAnsi="Arial" w:cs="Arial"/>
        </w:rPr>
        <w:t>Serranos-MG</w:t>
      </w:r>
      <w:proofErr w:type="spellEnd"/>
      <w:r w:rsidRPr="00AE4AC7">
        <w:rPr>
          <w:rFonts w:ascii="Arial" w:hAnsi="Arial" w:cs="Arial"/>
        </w:rPr>
        <w:t>.</w:t>
      </w:r>
    </w:p>
    <w:tbl>
      <w:tblPr>
        <w:tblStyle w:val="SombreamentoMdio2-nfase5"/>
        <w:tblW w:w="4958" w:type="pct"/>
        <w:tblLook w:val="0660"/>
      </w:tblPr>
      <w:tblGrid>
        <w:gridCol w:w="2161"/>
        <w:gridCol w:w="2162"/>
        <w:gridCol w:w="2162"/>
        <w:gridCol w:w="2162"/>
      </w:tblGrid>
      <w:tr w:rsidR="000F248A" w:rsidTr="001E372F">
        <w:trPr>
          <w:cnfStyle w:val="100000000000"/>
          <w:trHeight w:val="143"/>
        </w:trPr>
        <w:tc>
          <w:tcPr>
            <w:tcW w:w="1250" w:type="pct"/>
            <w:noWrap/>
          </w:tcPr>
          <w:p w:rsidR="000F248A" w:rsidRDefault="000F248A" w:rsidP="001E372F">
            <w:r>
              <w:t>Tabela 2</w:t>
            </w:r>
          </w:p>
        </w:tc>
        <w:tc>
          <w:tcPr>
            <w:tcW w:w="1250" w:type="pct"/>
          </w:tcPr>
          <w:p w:rsidR="000F248A" w:rsidRDefault="000F248A" w:rsidP="001E372F">
            <w:r>
              <w:t>Objetivo</w:t>
            </w:r>
          </w:p>
        </w:tc>
        <w:tc>
          <w:tcPr>
            <w:tcW w:w="1250" w:type="pct"/>
          </w:tcPr>
          <w:p w:rsidR="000F248A" w:rsidRDefault="000F248A" w:rsidP="001E372F">
            <w:r>
              <w:t xml:space="preserve">         Nº</w:t>
            </w:r>
          </w:p>
        </w:tc>
        <w:tc>
          <w:tcPr>
            <w:tcW w:w="1250" w:type="pct"/>
          </w:tcPr>
          <w:p w:rsidR="000F248A" w:rsidRDefault="000F248A" w:rsidP="001E372F"/>
        </w:tc>
      </w:tr>
      <w:tr w:rsidR="000F248A" w:rsidTr="001E372F">
        <w:trPr>
          <w:trHeight w:val="286"/>
        </w:trPr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Pr="00846A12" w:rsidRDefault="000F248A" w:rsidP="001E372F">
            <w:pPr>
              <w:rPr>
                <w:rStyle w:val="nfaseSutil"/>
                <w:i w:val="0"/>
                <w:color w:val="000000" w:themeColor="text1"/>
              </w:rPr>
            </w:pPr>
            <w:r>
              <w:rPr>
                <w:rStyle w:val="nfaseSutil"/>
                <w:color w:val="000000" w:themeColor="text1"/>
              </w:rPr>
              <w:t>Ganho Muscular</w:t>
            </w:r>
          </w:p>
          <w:p w:rsidR="000F248A" w:rsidRPr="00347991" w:rsidRDefault="000F248A" w:rsidP="001E372F">
            <w:pPr>
              <w:rPr>
                <w:rStyle w:val="nfaseSutil"/>
                <w:i w:val="0"/>
                <w:color w:val="000000" w:themeColor="text1"/>
              </w:rPr>
            </w:pPr>
            <w:r w:rsidRPr="00347991">
              <w:rPr>
                <w:rStyle w:val="nfaseSutil"/>
                <w:color w:val="000000" w:themeColor="text1"/>
              </w:rPr>
              <w:t>Emagrecimento</w:t>
            </w:r>
          </w:p>
        </w:tc>
        <w:tc>
          <w:tcPr>
            <w:tcW w:w="1250" w:type="pct"/>
          </w:tcPr>
          <w:p w:rsidR="000F248A" w:rsidRDefault="000F248A" w:rsidP="001E372F">
            <w:r>
              <w:t xml:space="preserve">     17 Alunos (as)</w:t>
            </w:r>
          </w:p>
          <w:p w:rsidR="000F248A" w:rsidRDefault="000F248A" w:rsidP="001E372F">
            <w:r>
              <w:t xml:space="preserve">     </w:t>
            </w:r>
            <w:proofErr w:type="gramStart"/>
            <w:r>
              <w:t>1</w:t>
            </w:r>
            <w:proofErr w:type="gramEnd"/>
            <w:r>
              <w:t xml:space="preserve"> Aluno(a)</w:t>
            </w:r>
          </w:p>
        </w:tc>
        <w:tc>
          <w:tcPr>
            <w:tcW w:w="1250" w:type="pct"/>
          </w:tcPr>
          <w:p w:rsidR="000F248A" w:rsidRDefault="000F248A" w:rsidP="001E372F"/>
        </w:tc>
      </w:tr>
      <w:tr w:rsidR="000F248A" w:rsidTr="001E372F">
        <w:trPr>
          <w:trHeight w:val="150"/>
        </w:trPr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Definição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proofErr w:type="gramStart"/>
            <w:r>
              <w:t>1</w:t>
            </w:r>
            <w:proofErr w:type="gramEnd"/>
            <w:r>
              <w:t xml:space="preserve"> Aluno (a)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rPr>
          <w:trHeight w:val="143"/>
        </w:trPr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Estética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proofErr w:type="gramStart"/>
            <w:r>
              <w:t>6</w:t>
            </w:r>
            <w:proofErr w:type="gramEnd"/>
            <w:r>
              <w:t xml:space="preserve"> Alunos (as)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rPr>
          <w:trHeight w:val="150"/>
        </w:trPr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Saúde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 xml:space="preserve">     10 Alunos (as)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rPr>
          <w:trHeight w:val="143"/>
        </w:trPr>
        <w:tc>
          <w:tcPr>
            <w:tcW w:w="1250" w:type="pct"/>
            <w:noWrap/>
          </w:tcPr>
          <w:p w:rsidR="000F248A" w:rsidRDefault="000F248A" w:rsidP="001E372F"/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>Outro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  <w:r>
              <w:t xml:space="preserve">            -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rPr>
          <w:cnfStyle w:val="010000000000"/>
          <w:trHeight w:val="25"/>
        </w:trPr>
        <w:tc>
          <w:tcPr>
            <w:tcW w:w="1250" w:type="pct"/>
            <w:noWrap/>
          </w:tcPr>
          <w:p w:rsidR="000F248A" w:rsidRDefault="000F248A" w:rsidP="001E372F">
            <w:r>
              <w:t>Total</w:t>
            </w: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250" w:type="pct"/>
          </w:tcPr>
          <w:p w:rsidR="000F248A" w:rsidRDefault="000F248A" w:rsidP="001E372F">
            <w:pPr>
              <w:pStyle w:val="DecimalAligned"/>
            </w:pPr>
          </w:p>
        </w:tc>
      </w:tr>
    </w:tbl>
    <w:p w:rsidR="000F248A" w:rsidRDefault="000F248A" w:rsidP="000F248A">
      <w:pPr>
        <w:pStyle w:val="Textodenotaderodap"/>
      </w:pPr>
      <w:r>
        <w:rPr>
          <w:rStyle w:val="nfaseSutil"/>
        </w:rPr>
        <w:t>Fonte:</w:t>
      </w:r>
      <w:proofErr w:type="gramStart"/>
      <w:r>
        <w:t xml:space="preserve">  </w:t>
      </w:r>
      <w:proofErr w:type="gramEnd"/>
      <w:r>
        <w:t>NOGUEIRA,Ludmilla (2023)</w:t>
      </w:r>
    </w:p>
    <w:p w:rsidR="000F248A" w:rsidRDefault="000F248A" w:rsidP="000F248A">
      <w:pPr>
        <w:pStyle w:val="Textodenotaderodap"/>
      </w:pPr>
    </w:p>
    <w:p w:rsidR="000F248A" w:rsidRDefault="000F248A" w:rsidP="000F248A"/>
    <w:p w:rsidR="000F248A" w:rsidRDefault="000F248A" w:rsidP="000F248A">
      <w:pPr>
        <w:spacing w:after="0" w:line="360" w:lineRule="auto"/>
        <w:ind w:firstLine="709"/>
        <w:jc w:val="both"/>
      </w:pPr>
      <w:r w:rsidRPr="007C78BA">
        <w:rPr>
          <w:rFonts w:ascii="Arial" w:hAnsi="Arial" w:cs="Arial"/>
          <w:sz w:val="24"/>
          <w:szCs w:val="24"/>
        </w:rPr>
        <w:t xml:space="preserve">Analisando as respostas do questionário percebe-se que </w:t>
      </w:r>
      <w:r>
        <w:rPr>
          <w:rFonts w:ascii="Arial" w:hAnsi="Arial" w:cs="Arial"/>
          <w:sz w:val="24"/>
          <w:szCs w:val="24"/>
        </w:rPr>
        <w:t xml:space="preserve">68% dos entrevistados buscam ganho muscular. Além disso, uma boa parcela está preocupada com a estética e a saúde. A última tabela apresenta os dados acerca do uso dos suplementos pelos praticantes de musculação que responderam o estudo. </w:t>
      </w:r>
    </w:p>
    <w:p w:rsidR="000F248A" w:rsidRDefault="000F248A" w:rsidP="000F248A"/>
    <w:p w:rsidR="000F248A" w:rsidRDefault="000F248A" w:rsidP="000F248A">
      <w:pPr>
        <w:jc w:val="center"/>
        <w:rPr>
          <w:rFonts w:ascii="Arial" w:hAnsi="Arial" w:cs="Arial"/>
        </w:rPr>
      </w:pPr>
      <w:r w:rsidRPr="007C78BA">
        <w:rPr>
          <w:rFonts w:ascii="Arial" w:hAnsi="Arial" w:cs="Arial"/>
          <w:b/>
        </w:rPr>
        <w:t>Tabela 3</w:t>
      </w:r>
      <w:r w:rsidRPr="007C78BA">
        <w:rPr>
          <w:rFonts w:ascii="Arial" w:hAnsi="Arial" w:cs="Arial"/>
        </w:rPr>
        <w:t xml:space="preserve">. Uso de suplementos por praticantes de musculação de academia da cidade de </w:t>
      </w:r>
      <w:proofErr w:type="spellStart"/>
      <w:r w:rsidRPr="007C78BA">
        <w:rPr>
          <w:rFonts w:ascii="Arial" w:hAnsi="Arial" w:cs="Arial"/>
        </w:rPr>
        <w:t>Serranos-MG</w:t>
      </w:r>
      <w:proofErr w:type="spellEnd"/>
      <w:r w:rsidRPr="007C78BA">
        <w:rPr>
          <w:rFonts w:ascii="Arial" w:hAnsi="Arial" w:cs="Arial"/>
        </w:rPr>
        <w:t>.</w:t>
      </w:r>
    </w:p>
    <w:tbl>
      <w:tblPr>
        <w:tblStyle w:val="SombreamentoMdio2-nfase5"/>
        <w:tblW w:w="5000" w:type="pct"/>
        <w:tblLook w:val="0660"/>
      </w:tblPr>
      <w:tblGrid>
        <w:gridCol w:w="2983"/>
        <w:gridCol w:w="1911"/>
        <w:gridCol w:w="1913"/>
        <w:gridCol w:w="1913"/>
      </w:tblGrid>
      <w:tr w:rsidR="000F248A" w:rsidTr="001E372F">
        <w:trPr>
          <w:cnfStyle w:val="100000000000"/>
        </w:trPr>
        <w:tc>
          <w:tcPr>
            <w:tcW w:w="1710" w:type="pct"/>
            <w:noWrap/>
          </w:tcPr>
          <w:p w:rsidR="000F248A" w:rsidRDefault="000F248A" w:rsidP="001E372F">
            <w:r>
              <w:t>Tabela 3</w:t>
            </w:r>
          </w:p>
        </w:tc>
        <w:tc>
          <w:tcPr>
            <w:tcW w:w="1096" w:type="pct"/>
          </w:tcPr>
          <w:p w:rsidR="000F248A" w:rsidRDefault="000F248A" w:rsidP="001E372F"/>
        </w:tc>
        <w:tc>
          <w:tcPr>
            <w:tcW w:w="1097" w:type="pct"/>
          </w:tcPr>
          <w:p w:rsidR="000F248A" w:rsidRDefault="000F248A" w:rsidP="001E372F"/>
        </w:tc>
        <w:tc>
          <w:tcPr>
            <w:tcW w:w="1097" w:type="pct"/>
          </w:tcPr>
          <w:p w:rsidR="000F248A" w:rsidRDefault="000F248A" w:rsidP="001E372F">
            <w:r>
              <w:t xml:space="preserve">  Nº</w:t>
            </w:r>
          </w:p>
        </w:tc>
      </w:tr>
      <w:tr w:rsidR="000F248A" w:rsidTr="001E372F">
        <w:tc>
          <w:tcPr>
            <w:tcW w:w="1710" w:type="pct"/>
            <w:noWrap/>
          </w:tcPr>
          <w:p w:rsidR="000F248A" w:rsidRDefault="000F248A" w:rsidP="001E372F"/>
        </w:tc>
        <w:tc>
          <w:tcPr>
            <w:tcW w:w="1096" w:type="pct"/>
          </w:tcPr>
          <w:p w:rsidR="000F248A" w:rsidRDefault="000F248A" w:rsidP="001E372F">
            <w:pPr>
              <w:rPr>
                <w:rStyle w:val="nfaseSutil"/>
              </w:rPr>
            </w:pPr>
          </w:p>
        </w:tc>
        <w:tc>
          <w:tcPr>
            <w:tcW w:w="1097" w:type="pct"/>
          </w:tcPr>
          <w:p w:rsidR="000F248A" w:rsidRDefault="000F248A" w:rsidP="001E372F"/>
        </w:tc>
        <w:tc>
          <w:tcPr>
            <w:tcW w:w="1097" w:type="pct"/>
          </w:tcPr>
          <w:p w:rsidR="000F248A" w:rsidRDefault="000F248A" w:rsidP="001E372F"/>
        </w:tc>
      </w:tr>
      <w:tr w:rsidR="000F248A" w:rsidTr="001E372F">
        <w:tc>
          <w:tcPr>
            <w:tcW w:w="1710" w:type="pct"/>
            <w:noWrap/>
          </w:tcPr>
          <w:p w:rsidR="000F248A" w:rsidRPr="00593F75" w:rsidRDefault="000F248A" w:rsidP="001E372F">
            <w:pPr>
              <w:rPr>
                <w:b/>
              </w:rPr>
            </w:pPr>
            <w:r w:rsidRPr="00593F75">
              <w:rPr>
                <w:b/>
              </w:rPr>
              <w:lastRenderedPageBreak/>
              <w:t>Uso de suplementos</w:t>
            </w:r>
          </w:p>
          <w:p w:rsidR="000F248A" w:rsidRDefault="000F248A" w:rsidP="001E372F"/>
        </w:tc>
        <w:tc>
          <w:tcPr>
            <w:tcW w:w="1096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  <w:r>
              <w:t>Sim</w:t>
            </w: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  <w:r>
              <w:t>22</w:t>
            </w:r>
          </w:p>
        </w:tc>
      </w:tr>
      <w:tr w:rsidR="000F248A" w:rsidTr="001E372F">
        <w:tc>
          <w:tcPr>
            <w:tcW w:w="1710" w:type="pct"/>
            <w:noWrap/>
          </w:tcPr>
          <w:p w:rsidR="000F248A" w:rsidRDefault="000F248A" w:rsidP="001E372F"/>
        </w:tc>
        <w:tc>
          <w:tcPr>
            <w:tcW w:w="1096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  <w:r>
              <w:t>Não</w:t>
            </w: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  <w:proofErr w:type="gramStart"/>
            <w:r>
              <w:t>3</w:t>
            </w:r>
            <w:proofErr w:type="gramEnd"/>
          </w:p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c>
          <w:tcPr>
            <w:tcW w:w="1710" w:type="pct"/>
            <w:noWrap/>
          </w:tcPr>
          <w:p w:rsidR="000F248A" w:rsidRDefault="000F248A" w:rsidP="001E372F"/>
          <w:p w:rsidR="000F248A" w:rsidRDefault="000F248A" w:rsidP="001E372F"/>
          <w:p w:rsidR="000F248A" w:rsidRDefault="000F248A" w:rsidP="001E372F"/>
          <w:p w:rsidR="000F248A" w:rsidRPr="00593F75" w:rsidRDefault="000F248A" w:rsidP="001E372F">
            <w:pPr>
              <w:rPr>
                <w:b/>
              </w:rPr>
            </w:pPr>
            <w:r w:rsidRPr="00593F75">
              <w:rPr>
                <w:b/>
              </w:rPr>
              <w:t>Quem indicou os suplementos</w:t>
            </w:r>
          </w:p>
        </w:tc>
        <w:tc>
          <w:tcPr>
            <w:tcW w:w="1096" w:type="pct"/>
          </w:tcPr>
          <w:p w:rsidR="000F248A" w:rsidRDefault="000F248A" w:rsidP="001E372F">
            <w:pPr>
              <w:pStyle w:val="DecimalAligned"/>
              <w:rPr>
                <w:b/>
              </w:rPr>
            </w:pPr>
            <w:r>
              <w:t xml:space="preserve">         </w:t>
            </w:r>
            <w:r w:rsidRPr="00593F75">
              <w:rPr>
                <w:b/>
              </w:rPr>
              <w:t>Total</w:t>
            </w:r>
          </w:p>
          <w:p w:rsidR="000F248A" w:rsidRPr="00593F75" w:rsidRDefault="000F248A" w:rsidP="001E372F">
            <w:pPr>
              <w:pStyle w:val="DecimalAligned"/>
              <w:rPr>
                <w:b/>
              </w:rPr>
            </w:pP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  <w:rPr>
                <w:b/>
              </w:rPr>
            </w:pPr>
          </w:p>
          <w:p w:rsidR="000F248A" w:rsidRDefault="000F248A" w:rsidP="001E372F">
            <w:pPr>
              <w:pStyle w:val="DecimalAligned"/>
              <w:rPr>
                <w:b/>
              </w:rPr>
            </w:pPr>
          </w:p>
          <w:p w:rsidR="000F248A" w:rsidRPr="00593F75" w:rsidRDefault="000F248A" w:rsidP="001E372F">
            <w:pPr>
              <w:pStyle w:val="DecimalAligned"/>
            </w:pPr>
            <w:r w:rsidRPr="00593F75">
              <w:t>Conta Própria</w:t>
            </w:r>
            <w:r>
              <w:t xml:space="preserve">                        </w:t>
            </w:r>
          </w:p>
          <w:p w:rsidR="000F248A" w:rsidRPr="00593F75" w:rsidRDefault="000F248A" w:rsidP="001E372F">
            <w:pPr>
              <w:pStyle w:val="DecimalAligned"/>
            </w:pPr>
            <w:r w:rsidRPr="00593F75">
              <w:t>Instrutor</w:t>
            </w:r>
          </w:p>
          <w:p w:rsidR="000F248A" w:rsidRPr="00593F75" w:rsidRDefault="000F248A" w:rsidP="001E372F">
            <w:pPr>
              <w:pStyle w:val="DecimalAligned"/>
            </w:pPr>
            <w:r w:rsidRPr="00593F75">
              <w:t>Amigo</w:t>
            </w:r>
          </w:p>
          <w:p w:rsidR="000F248A" w:rsidRPr="00194505" w:rsidRDefault="000F248A" w:rsidP="001E372F">
            <w:pPr>
              <w:pStyle w:val="DecimalAligned"/>
              <w:rPr>
                <w:b/>
              </w:rPr>
            </w:pPr>
            <w:r w:rsidRPr="00593F75">
              <w:t>Nutricionista</w:t>
            </w: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</w:p>
          <w:p w:rsidR="000F248A" w:rsidRDefault="000F248A" w:rsidP="001E372F"/>
          <w:p w:rsidR="000F248A" w:rsidRDefault="000F248A" w:rsidP="001E372F">
            <w:r>
              <w:t xml:space="preserve">     </w:t>
            </w:r>
            <w:proofErr w:type="gramStart"/>
            <w:r>
              <w:t>4</w:t>
            </w:r>
            <w:proofErr w:type="gramEnd"/>
          </w:p>
          <w:p w:rsidR="000F248A" w:rsidRDefault="000F248A" w:rsidP="001E372F">
            <w:r>
              <w:t xml:space="preserve">     </w:t>
            </w:r>
            <w:proofErr w:type="gramStart"/>
            <w:r>
              <w:t>8</w:t>
            </w:r>
            <w:proofErr w:type="gramEnd"/>
          </w:p>
          <w:p w:rsidR="000F248A" w:rsidRDefault="000F248A" w:rsidP="001E372F">
            <w:r>
              <w:t xml:space="preserve">     </w:t>
            </w:r>
            <w:proofErr w:type="gramStart"/>
            <w:r>
              <w:t>3</w:t>
            </w:r>
            <w:proofErr w:type="gramEnd"/>
          </w:p>
          <w:p w:rsidR="000F248A" w:rsidRPr="00593F75" w:rsidRDefault="000F248A" w:rsidP="001E372F">
            <w:r>
              <w:t xml:space="preserve">     </w:t>
            </w:r>
            <w:proofErr w:type="gramStart"/>
            <w:r>
              <w:t>7</w:t>
            </w:r>
            <w:proofErr w:type="gramEnd"/>
          </w:p>
        </w:tc>
      </w:tr>
      <w:tr w:rsidR="000F248A" w:rsidTr="001E372F">
        <w:tc>
          <w:tcPr>
            <w:tcW w:w="1710" w:type="pct"/>
            <w:noWrap/>
          </w:tcPr>
          <w:p w:rsidR="000F248A" w:rsidRDefault="000F248A" w:rsidP="001E372F"/>
        </w:tc>
        <w:tc>
          <w:tcPr>
            <w:tcW w:w="1096" w:type="pct"/>
          </w:tcPr>
          <w:p w:rsidR="000F248A" w:rsidRPr="00593F75" w:rsidRDefault="000F248A" w:rsidP="001E372F">
            <w:pPr>
              <w:pStyle w:val="DecimalAligned"/>
              <w:rPr>
                <w:b/>
              </w:rPr>
            </w:pPr>
            <w:r w:rsidRPr="00593F75">
              <w:rPr>
                <w:b/>
              </w:rPr>
              <w:t xml:space="preserve">         </w:t>
            </w:r>
            <w:r>
              <w:rPr>
                <w:b/>
              </w:rPr>
              <w:t>Total</w:t>
            </w:r>
            <w:r w:rsidRPr="00593F75">
              <w:rPr>
                <w:b/>
              </w:rPr>
              <w:t xml:space="preserve">                    </w:t>
            </w: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  <w:r>
              <w:t xml:space="preserve">                </w:t>
            </w: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</w:p>
        </w:tc>
      </w:tr>
      <w:tr w:rsidR="000F248A" w:rsidTr="001E372F">
        <w:trPr>
          <w:cnfStyle w:val="010000000000"/>
        </w:trPr>
        <w:tc>
          <w:tcPr>
            <w:tcW w:w="1710" w:type="pct"/>
            <w:noWrap/>
          </w:tcPr>
          <w:p w:rsidR="000F248A" w:rsidRDefault="000F248A" w:rsidP="001E372F">
            <w:r>
              <w:t>Total</w:t>
            </w:r>
          </w:p>
        </w:tc>
        <w:tc>
          <w:tcPr>
            <w:tcW w:w="1096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</w:p>
        </w:tc>
        <w:tc>
          <w:tcPr>
            <w:tcW w:w="1097" w:type="pct"/>
          </w:tcPr>
          <w:p w:rsidR="000F248A" w:rsidRDefault="000F248A" w:rsidP="001E372F">
            <w:pPr>
              <w:pStyle w:val="DecimalAligned"/>
            </w:pPr>
          </w:p>
        </w:tc>
      </w:tr>
    </w:tbl>
    <w:p w:rsidR="000F248A" w:rsidRDefault="000F248A" w:rsidP="000F248A">
      <w:pPr>
        <w:pStyle w:val="Textodenotaderodap"/>
      </w:pPr>
      <w:r>
        <w:rPr>
          <w:rStyle w:val="nfaseSutil"/>
        </w:rPr>
        <w:t>Fonte:</w:t>
      </w:r>
      <w:proofErr w:type="gramStart"/>
      <w:r>
        <w:t xml:space="preserve">  </w:t>
      </w:r>
      <w:proofErr w:type="gramEnd"/>
      <w:r>
        <w:t>NOGUEIRA,Ludmilla (2023)</w:t>
      </w:r>
    </w:p>
    <w:p w:rsidR="000F248A" w:rsidRDefault="000F248A" w:rsidP="000F248A">
      <w:pPr>
        <w:pStyle w:val="Textodenotaderodap"/>
      </w:pPr>
    </w:p>
    <w:p w:rsidR="000F248A" w:rsidRDefault="000F248A" w:rsidP="000F24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39AB">
        <w:rPr>
          <w:rFonts w:ascii="Arial" w:hAnsi="Arial" w:cs="Arial"/>
          <w:sz w:val="24"/>
          <w:szCs w:val="24"/>
        </w:rPr>
        <w:t xml:space="preserve">As respostas do questionário reforçam os estudos acerca do uso indiscriminado de suplementos, 88% dos entrevistados utilizam suplementação aliada à musculação na academia. </w:t>
      </w:r>
      <w:r>
        <w:rPr>
          <w:rFonts w:ascii="Arial" w:hAnsi="Arial" w:cs="Arial"/>
          <w:sz w:val="24"/>
          <w:szCs w:val="24"/>
        </w:rPr>
        <w:t xml:space="preserve">A academia e os instrutores acabam influenciando os participantes a comprarem seus suplementos, 36,36% dos entrevistados afirmaram que os instrutores indicaram os suplementos que utilizam. Já, 31,81 dos que utilizam suplementos foram indicados por nutricionistas, 18,18% por conta própria e 13,65% utilizam suplementos por conta própria. </w:t>
      </w:r>
    </w:p>
    <w:p w:rsidR="00EF7315" w:rsidRDefault="000F248A" w:rsidP="000F248A">
      <w:pPr>
        <w:pStyle w:val="Ttulo1"/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0F248A">
        <w:rPr>
          <w:b w:val="0"/>
          <w:sz w:val="24"/>
          <w:szCs w:val="24"/>
        </w:rPr>
        <w:t>Os resultados dos questionários reforçam a preocupação de uma parcela da população com a estética e saúde, os entrevistados utilizam a suplementação nutricional para atingir um melhor desempenho e alcançar os resultados, tais como: emagrecimento e ganho de massa muscular. Os suplementos mais citados durante o estudo foram creatina e wheyProtein</w:t>
      </w:r>
      <w:r>
        <w:rPr>
          <w:b w:val="0"/>
          <w:sz w:val="24"/>
          <w:szCs w:val="24"/>
        </w:rPr>
        <w:t>.</w:t>
      </w:r>
    </w:p>
    <w:p w:rsidR="000F248A" w:rsidRDefault="000F248A" w:rsidP="000F248A">
      <w:pPr>
        <w:pStyle w:val="Ttulo1"/>
        <w:spacing w:before="0" w:line="360" w:lineRule="auto"/>
        <w:ind w:left="0"/>
        <w:jc w:val="both"/>
        <w:rPr>
          <w:sz w:val="22"/>
          <w:szCs w:val="22"/>
        </w:rPr>
      </w:pPr>
    </w:p>
    <w:p w:rsidR="000F248A" w:rsidRDefault="000F248A" w:rsidP="000F248A">
      <w:pPr>
        <w:pStyle w:val="Ttulo1"/>
        <w:spacing w:before="0" w:line="360" w:lineRule="auto"/>
        <w:ind w:left="0"/>
        <w:jc w:val="both"/>
        <w:rPr>
          <w:sz w:val="22"/>
          <w:szCs w:val="22"/>
        </w:rPr>
      </w:pPr>
      <w:r w:rsidRPr="000F248A">
        <w:rPr>
          <w:sz w:val="22"/>
          <w:szCs w:val="22"/>
        </w:rPr>
        <w:t>Conclusão/ Considerações finais</w:t>
      </w:r>
    </w:p>
    <w:p w:rsidR="000F248A" w:rsidRDefault="000F248A" w:rsidP="000F248A">
      <w:pPr>
        <w:pStyle w:val="Ttulo1"/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 w:rsidRPr="00A8283C">
        <w:rPr>
          <w:b w:val="0"/>
          <w:sz w:val="24"/>
          <w:szCs w:val="24"/>
        </w:rPr>
        <w:t xml:space="preserve">A busca por resultados rápidos tem levado muitos </w:t>
      </w:r>
      <w:r>
        <w:rPr>
          <w:b w:val="0"/>
          <w:sz w:val="24"/>
          <w:szCs w:val="24"/>
        </w:rPr>
        <w:t xml:space="preserve">praticantes de musculação em academias </w:t>
      </w:r>
      <w:r w:rsidRPr="00A8283C">
        <w:rPr>
          <w:b w:val="0"/>
          <w:sz w:val="24"/>
          <w:szCs w:val="24"/>
        </w:rPr>
        <w:t>a usarem suplementos alimentares sem a orientação</w:t>
      </w:r>
      <w:r>
        <w:rPr>
          <w:b w:val="0"/>
          <w:sz w:val="24"/>
          <w:szCs w:val="24"/>
        </w:rPr>
        <w:t xml:space="preserve"> de um profissional adequado</w:t>
      </w:r>
      <w:r w:rsidRPr="00A8283C">
        <w:rPr>
          <w:b w:val="0"/>
          <w:sz w:val="24"/>
          <w:szCs w:val="24"/>
        </w:rPr>
        <w:t>. Muitas pessoas</w:t>
      </w:r>
      <w:r>
        <w:rPr>
          <w:b w:val="0"/>
          <w:sz w:val="24"/>
          <w:szCs w:val="24"/>
        </w:rPr>
        <w:t xml:space="preserve"> seguem </w:t>
      </w:r>
      <w:r w:rsidRPr="00A8283C">
        <w:rPr>
          <w:b w:val="0"/>
          <w:sz w:val="24"/>
          <w:szCs w:val="24"/>
        </w:rPr>
        <w:t xml:space="preserve">dietas </w:t>
      </w:r>
      <w:r>
        <w:rPr>
          <w:b w:val="0"/>
          <w:sz w:val="24"/>
          <w:szCs w:val="24"/>
        </w:rPr>
        <w:t>in</w:t>
      </w:r>
      <w:r w:rsidRPr="00A8283C">
        <w:rPr>
          <w:b w:val="0"/>
          <w:sz w:val="24"/>
          <w:szCs w:val="24"/>
        </w:rPr>
        <w:t>adequadas</w:t>
      </w:r>
      <w:r>
        <w:rPr>
          <w:b w:val="0"/>
          <w:sz w:val="24"/>
          <w:szCs w:val="24"/>
        </w:rPr>
        <w:t>, se automedicam e escolhem suplmentos de acordo com elatos de terceiros. Além disso,</w:t>
      </w:r>
      <w:r w:rsidRPr="00A8283C">
        <w:rPr>
          <w:b w:val="0"/>
          <w:sz w:val="24"/>
          <w:szCs w:val="24"/>
        </w:rPr>
        <w:t xml:space="preserve"> se deparam com hábitos alimentares errôneos, falta de conhecimento</w:t>
      </w:r>
      <w:r>
        <w:rPr>
          <w:b w:val="0"/>
          <w:sz w:val="24"/>
          <w:szCs w:val="24"/>
        </w:rPr>
        <w:t>, tentativa de alcançar um padrão influenciado pela mídia gerando um comportamento destrutivo.</w:t>
      </w:r>
    </w:p>
    <w:p w:rsidR="000F248A" w:rsidRDefault="000F248A" w:rsidP="000F248A">
      <w:pPr>
        <w:pStyle w:val="Ttulo1"/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Ao observar os resultados do estudo percebe-se como os frequentadores de academia utilizam os suplementos de forma indiscriminada com base em relatos de terceiros, pesquisas na internet e orientações dos </w:t>
      </w:r>
      <w:r>
        <w:rPr>
          <w:b w:val="0"/>
          <w:sz w:val="24"/>
          <w:szCs w:val="24"/>
        </w:rPr>
        <w:lastRenderedPageBreak/>
        <w:t>profissionais de Educação Fisíca.</w:t>
      </w:r>
    </w:p>
    <w:p w:rsidR="000F248A" w:rsidRPr="00B66068" w:rsidRDefault="000F248A" w:rsidP="000F248A">
      <w:pPr>
        <w:pStyle w:val="Ttulo1"/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Vale ressaltar, que o</w:t>
      </w:r>
      <w:r w:rsidRPr="00B66068">
        <w:rPr>
          <w:b w:val="0"/>
          <w:sz w:val="24"/>
          <w:szCs w:val="24"/>
        </w:rPr>
        <w:t xml:space="preserve"> nutricionista é o único profissional capacitado para prescrição de suplementos por deter o conhecimento das necessidades dos indivíduos, possibilitando traçar as quantidades necessárias e período de seu uso. Os riscos do uso sem orientação podem trazer inúmeros malefícios para a saúde, pois em altas doses pode provocar a sobrecarga renal, bem como outros prejuízos ao organismo.</w:t>
      </w:r>
    </w:p>
    <w:p w:rsidR="00C35416" w:rsidRPr="00F3016C" w:rsidRDefault="00C35416" w:rsidP="00C35416">
      <w:pPr>
        <w:pStyle w:val="Corpodetexto"/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rFonts w:ascii="Arial" w:hAnsi="Arial" w:cs="Arial"/>
        </w:rPr>
        <w:t xml:space="preserve">Dessa forma, o estudo conclui que o nutricionista é fundamental e muito necessário em academias  para prescrição desses suplementos fornecendo uma orientação profissional suficiente para proporcionar os nutrientes necessários, de forma balanceada a partir de alimentos e suplementos alimentares, contribuindo para melhora do desempenho dos exercícios físicos, alterações positivas na composição corporal, melhorando a condição física, a beleza e a autoestima. </w:t>
      </w:r>
    </w:p>
    <w:p w:rsidR="000F248A" w:rsidRDefault="000F248A" w:rsidP="000F248A">
      <w:pPr>
        <w:pStyle w:val="Ttulo1"/>
        <w:spacing w:before="0" w:line="360" w:lineRule="auto"/>
        <w:ind w:left="0" w:firstLine="709"/>
        <w:jc w:val="both"/>
        <w:rPr>
          <w:b w:val="0"/>
          <w:sz w:val="24"/>
          <w:szCs w:val="24"/>
        </w:rPr>
      </w:pPr>
    </w:p>
    <w:p w:rsidR="00C35416" w:rsidRDefault="00C35416" w:rsidP="00C35416">
      <w:pPr>
        <w:pStyle w:val="Ttulo1"/>
        <w:spacing w:before="0" w:line="360" w:lineRule="auto"/>
        <w:ind w:left="0"/>
        <w:jc w:val="both"/>
        <w:rPr>
          <w:sz w:val="22"/>
          <w:szCs w:val="22"/>
        </w:rPr>
      </w:pPr>
      <w:r w:rsidRPr="00C35416">
        <w:rPr>
          <w:sz w:val="22"/>
          <w:szCs w:val="22"/>
        </w:rPr>
        <w:t>Referências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AF7091">
        <w:rPr>
          <w:b w:val="0"/>
          <w:sz w:val="24"/>
          <w:szCs w:val="24"/>
        </w:rPr>
        <w:t xml:space="preserve">ANVISA. AGÊNCIA NACIONAL DE VIGILÂNCIA SANITÁRIA. </w:t>
      </w:r>
      <w:r w:rsidRPr="00AF7091">
        <w:rPr>
          <w:sz w:val="24"/>
          <w:szCs w:val="24"/>
        </w:rPr>
        <w:t>Regulamentação de suplementos alimentares</w:t>
      </w:r>
      <w:r w:rsidRPr="00AF7091">
        <w:rPr>
          <w:b w:val="0"/>
          <w:sz w:val="24"/>
          <w:szCs w:val="24"/>
        </w:rPr>
        <w:t xml:space="preserve"> - RDC nº 243/2018, de 27 de julho de 2018. Disponível em: </w:t>
      </w:r>
      <w:hyperlink r:id="rId4" w:history="1">
        <w:r w:rsidRPr="00AF7091">
          <w:rPr>
            <w:rStyle w:val="Hyperlink"/>
            <w:b w:val="0"/>
            <w:sz w:val="24"/>
            <w:szCs w:val="24"/>
          </w:rPr>
          <w:t>https://www.gov.br/anvisa/pt-br/assuntos/alimentos/suplementos-alimentares</w:t>
        </w:r>
      </w:hyperlink>
      <w:r w:rsidRPr="00AF70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Acesso em 12 de outubro de 2023 ás 23:24h.  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C35416">
        <w:rPr>
          <w:b w:val="0"/>
          <w:sz w:val="24"/>
          <w:szCs w:val="24"/>
          <w:lang w:val="pt-BR"/>
        </w:rPr>
        <w:t xml:space="preserve">ASSOCIATION OF UK DIETITIANS. </w:t>
      </w:r>
      <w:proofErr w:type="gramStart"/>
      <w:r w:rsidRPr="008E2C80">
        <w:rPr>
          <w:b w:val="0"/>
          <w:sz w:val="24"/>
          <w:szCs w:val="24"/>
          <w:lang w:val="en-US"/>
        </w:rPr>
        <w:t>SPORT AND EXERCISE NUTRITION REGISTER.</w:t>
      </w:r>
      <w:proofErr w:type="gramEnd"/>
      <w:r w:rsidRPr="008E2C80">
        <w:rPr>
          <w:b w:val="0"/>
          <w:sz w:val="24"/>
          <w:szCs w:val="24"/>
          <w:lang w:val="en-US"/>
        </w:rPr>
        <w:t xml:space="preserve"> </w:t>
      </w:r>
      <w:r w:rsidRPr="00AF7091">
        <w:rPr>
          <w:sz w:val="24"/>
          <w:szCs w:val="24"/>
        </w:rPr>
        <w:t>Supplement use in Sport Position Statement</w:t>
      </w:r>
      <w:r w:rsidRPr="00AF7091">
        <w:rPr>
          <w:b w:val="0"/>
          <w:sz w:val="24"/>
          <w:szCs w:val="24"/>
        </w:rPr>
        <w:t>, 2016. Disponível em: https://www.bda.uk.com/uploads/assets/df500b14-6556-4361-9e89d6df5265dfeb/SENrSupplement-Posit</w:t>
      </w:r>
      <w:r>
        <w:rPr>
          <w:b w:val="0"/>
          <w:sz w:val="24"/>
          <w:szCs w:val="24"/>
        </w:rPr>
        <w:t xml:space="preserve">ion-Statement-v-June-2017.pdf Acesso em 12 de outubro de 2023 ás 23:32h.  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853B33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853B33">
        <w:rPr>
          <w:b w:val="0"/>
          <w:sz w:val="24"/>
          <w:szCs w:val="24"/>
        </w:rPr>
        <w:t xml:space="preserve">BARROS, A.J.S.; PINHEIRO, M.T.C.; RODRIGUES, V.D. Conhecimentos acerca da alimentação saudável e consumo de suplementos alimentares por praticantes de atividade física em academias. </w:t>
      </w:r>
      <w:r w:rsidRPr="00853B33">
        <w:rPr>
          <w:sz w:val="24"/>
          <w:szCs w:val="24"/>
        </w:rPr>
        <w:t>Revista Brasileira de Nutrição Esportiva. Vol. 11. Num. 63</w:t>
      </w:r>
      <w:r w:rsidRPr="00853B33">
        <w:rPr>
          <w:b w:val="0"/>
          <w:sz w:val="24"/>
          <w:szCs w:val="24"/>
        </w:rPr>
        <w:t>. 2017. p.301-31.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BRASIL. CFN. Conselho Federal de Nutricionistas. </w:t>
      </w:r>
      <w:r w:rsidRPr="00665518">
        <w:rPr>
          <w:sz w:val="24"/>
          <w:szCs w:val="24"/>
        </w:rPr>
        <w:t>Resolução N° 334/2004.</w:t>
      </w:r>
      <w:r w:rsidRPr="00665518">
        <w:rPr>
          <w:b w:val="0"/>
          <w:sz w:val="24"/>
          <w:szCs w:val="24"/>
        </w:rPr>
        <w:t xml:space="preserve"> Diário Oficial da União , 2004.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BRASIL. Conselho Federal de Nutricionistas. </w:t>
      </w:r>
      <w:r w:rsidRPr="00665518">
        <w:rPr>
          <w:sz w:val="24"/>
          <w:szCs w:val="24"/>
        </w:rPr>
        <w:t>Resolução n° 380 de 28 de janeiro de 2005.</w:t>
      </w:r>
      <w:r w:rsidRPr="00665518">
        <w:rPr>
          <w:b w:val="0"/>
          <w:sz w:val="24"/>
          <w:szCs w:val="24"/>
        </w:rPr>
        <w:t xml:space="preserve"> Dispõe sobre a definição das áreas de atuação do nutricionista e suas atribuições, estabelece parâmetros numéricos de referência, por área de atuação, e dá outras providências. Diário Oficial da União 2006; 10 jan.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AF7091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AF7091">
        <w:rPr>
          <w:b w:val="0"/>
          <w:sz w:val="24"/>
          <w:szCs w:val="24"/>
        </w:rPr>
        <w:lastRenderedPageBreak/>
        <w:t xml:space="preserve">BRASIL. </w:t>
      </w:r>
      <w:r w:rsidRPr="00AF7091">
        <w:rPr>
          <w:sz w:val="24"/>
          <w:szCs w:val="24"/>
        </w:rPr>
        <w:t>Resolução CFN Nº 656/2020, de 15 de junho de 2020</w:t>
      </w:r>
      <w:r w:rsidRPr="00AF7091">
        <w:rPr>
          <w:b w:val="0"/>
          <w:sz w:val="24"/>
          <w:szCs w:val="24"/>
        </w:rPr>
        <w:t>. Dispõe sobre a prescrição dietética, pelo nutricionista, de suplementos alimentares pelo dá outras providências. Brasília: Conselho Federal de Nutricionistas, 2020.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>CHAGAS, B. L. F., do Nascimento, M. V. S., Barbosa, M. R., &amp; de Souza Gomes, L. P. Utilização indiscriminada de suplementos alimentares: causas e consequências</w:t>
      </w:r>
      <w:r w:rsidRPr="00665518">
        <w:rPr>
          <w:sz w:val="24"/>
          <w:szCs w:val="24"/>
        </w:rPr>
        <w:t>. Caderno de Graduação-Ciências Biológicas e da Saúde-UNIT</w:t>
      </w:r>
      <w:r w:rsidRPr="00665518">
        <w:rPr>
          <w:b w:val="0"/>
          <w:sz w:val="24"/>
          <w:szCs w:val="24"/>
        </w:rPr>
        <w:t>-SERGIPE, 3(2), 27-34.2016.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8E2C80">
        <w:rPr>
          <w:b w:val="0"/>
          <w:sz w:val="24"/>
          <w:szCs w:val="24"/>
          <w:lang w:val="en-US"/>
        </w:rPr>
        <w:t xml:space="preserve">ERDMAN, K. A., FUNG, T. S., &amp; REIMER, R. A. Influence of performance level on dietary supplementation in elite Canadian athletes. </w:t>
      </w:r>
      <w:r w:rsidRPr="008E2C80">
        <w:rPr>
          <w:sz w:val="24"/>
          <w:szCs w:val="24"/>
          <w:lang w:val="en-US"/>
        </w:rPr>
        <w:t>Medicine and science in sports and exercise</w:t>
      </w:r>
      <w:r w:rsidRPr="008E2C80">
        <w:rPr>
          <w:b w:val="0"/>
          <w:sz w:val="24"/>
          <w:szCs w:val="24"/>
          <w:lang w:val="en-US"/>
        </w:rPr>
        <w:t xml:space="preserve">, v. 38, n. 2, p. 349-356. </w:t>
      </w:r>
      <w:r w:rsidRPr="00665518">
        <w:rPr>
          <w:b w:val="0"/>
          <w:sz w:val="24"/>
          <w:szCs w:val="24"/>
        </w:rPr>
        <w:t>2006.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FERNANDES, W. N., &amp; Machado, J. S. Uso de suplementos alimentares por frequentadores de uma academia do município de Passo Fundo-RS. RBNE. </w:t>
      </w:r>
      <w:r w:rsidRPr="00665518">
        <w:rPr>
          <w:sz w:val="24"/>
          <w:szCs w:val="24"/>
        </w:rPr>
        <w:t>Revista Brasileira de Nutrição Esportiva,</w:t>
      </w:r>
      <w:r w:rsidRPr="00665518">
        <w:rPr>
          <w:b w:val="0"/>
          <w:sz w:val="24"/>
          <w:szCs w:val="24"/>
        </w:rPr>
        <w:t xml:space="preserve"> 10(55), 59-67. 2016.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>GALVÃO, F. G. R., dos Santos, A. K. M., Beserra, T. L., de Brito, C. L., Leite, P. K. V., de Araujo, J. E. R., &amp; Mori, E. Importância do Nutricionista na Prescrição de Suplementos na Prática de Atividade Física: Revisão Sistemática</w:t>
      </w:r>
      <w:r w:rsidRPr="00665518">
        <w:rPr>
          <w:sz w:val="24"/>
          <w:szCs w:val="24"/>
        </w:rPr>
        <w:t xml:space="preserve">. Revista e-ciência, 5(1). </w:t>
      </w:r>
      <w:r w:rsidRPr="00665518">
        <w:rPr>
          <w:b w:val="0"/>
          <w:sz w:val="24"/>
          <w:szCs w:val="24"/>
        </w:rPr>
        <w:t>2017.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JÚNIOR, A. E. C.; SANTOS, J. M.; SANTOS, J. L. R.; ALVES, M. R.; VIEIRA, M. M.; RODRIGUES, V. D. Conhecimentos acerca da alimentação saudável e consumo de suplementos alimentares por atletas de JiuJitsu de uma academia de Montes Claros-MG. </w:t>
      </w:r>
      <w:r w:rsidRPr="00665518">
        <w:rPr>
          <w:sz w:val="24"/>
          <w:szCs w:val="24"/>
        </w:rPr>
        <w:t>RBNE-Revista Brasileira De Nutrição Esportiva</w:t>
      </w:r>
      <w:r w:rsidRPr="00665518">
        <w:rPr>
          <w:b w:val="0"/>
          <w:sz w:val="24"/>
          <w:szCs w:val="24"/>
        </w:rPr>
        <w:t>, v. 13, n. 80, p. 468-474, 2019.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KANTIKAS, M. G. L. Avaliação do uso de suplementos nutricionais à base de soro bovino pelos praticantes de musculação em academias da cidade de Curitiba-PR. </w:t>
      </w:r>
      <w:r w:rsidRPr="00665518">
        <w:rPr>
          <w:sz w:val="24"/>
          <w:szCs w:val="24"/>
        </w:rPr>
        <w:t>Dissertação de Mestrado em Tecnologia de Alimentos.</w:t>
      </w:r>
      <w:r w:rsidRPr="00665518">
        <w:rPr>
          <w:b w:val="0"/>
          <w:sz w:val="24"/>
          <w:szCs w:val="24"/>
        </w:rPr>
        <w:t xml:space="preserve"> Universidade Federal do Paraná, Curitiba, 2007.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bookmarkStart w:id="1" w:name="_Toc131030493"/>
      <w:r w:rsidRPr="00665518">
        <w:rPr>
          <w:b w:val="0"/>
          <w:sz w:val="24"/>
          <w:szCs w:val="24"/>
        </w:rPr>
        <w:t xml:space="preserve">MARCONI, Marina de Andrade; LAKATOS, Eva Maria. </w:t>
      </w:r>
      <w:r w:rsidRPr="00665518">
        <w:rPr>
          <w:sz w:val="24"/>
          <w:szCs w:val="24"/>
        </w:rPr>
        <w:t>Metodologia cientifica</w:t>
      </w:r>
      <w:r w:rsidRPr="00665518">
        <w:rPr>
          <w:b w:val="0"/>
          <w:sz w:val="24"/>
          <w:szCs w:val="24"/>
        </w:rPr>
        <w:t>: ciência e conhecimento científico, métodos científicos, teoria, hipóteses e variáveis. São Paulo: Atlas, 2010.</w:t>
      </w:r>
      <w:bookmarkEnd w:id="1"/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MANCUSO, A. M., Vincha, K. R. R., &amp; Santiago, D. Ap. Educação Alimentar e Nutricional como prática de intervenção: reflexão e possibilidades defortalecimento. Physis: </w:t>
      </w:r>
      <w:r w:rsidRPr="00665518">
        <w:rPr>
          <w:sz w:val="24"/>
          <w:szCs w:val="24"/>
        </w:rPr>
        <w:t>Revista de Saúde Coletiva</w:t>
      </w:r>
      <w:r w:rsidRPr="00665518">
        <w:rPr>
          <w:b w:val="0"/>
          <w:sz w:val="24"/>
          <w:szCs w:val="24"/>
        </w:rPr>
        <w:t>, 26, 225-249, 2016.</w:t>
      </w:r>
      <w:r w:rsidRPr="00665518">
        <w:rPr>
          <w:b w:val="0"/>
          <w:sz w:val="24"/>
          <w:szCs w:val="24"/>
        </w:rPr>
        <w:cr/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MAXIMIANO, C. M. B. F., &amp; Santos, L. C. Consumo de suplementos por praticantes de atividade física em academias de ginásticas da cidade de Sete Lagoas-MG. </w:t>
      </w:r>
      <w:r w:rsidRPr="00665518">
        <w:rPr>
          <w:sz w:val="24"/>
          <w:szCs w:val="24"/>
        </w:rPr>
        <w:t>Revista Brasileira de Nutrição Esportiva</w:t>
      </w:r>
      <w:r w:rsidRPr="00665518">
        <w:rPr>
          <w:b w:val="0"/>
          <w:sz w:val="24"/>
          <w:szCs w:val="24"/>
        </w:rPr>
        <w:t xml:space="preserve">, 11(61), 93-101. 2017. 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NABHOLZ,T.V. </w:t>
      </w:r>
      <w:r w:rsidRPr="009D7833">
        <w:rPr>
          <w:sz w:val="24"/>
          <w:szCs w:val="24"/>
        </w:rPr>
        <w:t>Nutrição Esportiva</w:t>
      </w:r>
      <w:r w:rsidRPr="009D7833">
        <w:rPr>
          <w:b w:val="0"/>
          <w:sz w:val="24"/>
          <w:szCs w:val="24"/>
        </w:rPr>
        <w:t xml:space="preserve">:aspectos relacionados à suplementação nutricional. São </w:t>
      </w:r>
      <w:r>
        <w:rPr>
          <w:b w:val="0"/>
          <w:sz w:val="24"/>
          <w:szCs w:val="24"/>
        </w:rPr>
        <w:t>Paulo.Sarvier. Cap. 2. 2007. p.</w:t>
      </w:r>
      <w:r w:rsidRPr="009D7833">
        <w:rPr>
          <w:b w:val="0"/>
          <w:sz w:val="24"/>
          <w:szCs w:val="24"/>
        </w:rPr>
        <w:t>31-60.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bookmarkStart w:id="2" w:name="_Toc131030494"/>
      <w:r w:rsidRPr="00665518">
        <w:rPr>
          <w:b w:val="0"/>
          <w:sz w:val="24"/>
          <w:szCs w:val="24"/>
        </w:rPr>
        <w:t xml:space="preserve">NABUCO, H. C. G.; RODRIGUES, V. B.; RAVAGNANI, C. F. C. Fatores associados ao uso de suplementos alimentares entre atletas: Revisão </w:t>
      </w:r>
      <w:r w:rsidRPr="00665518">
        <w:rPr>
          <w:b w:val="0"/>
          <w:sz w:val="24"/>
          <w:szCs w:val="24"/>
        </w:rPr>
        <w:lastRenderedPageBreak/>
        <w:t xml:space="preserve">sistemática. </w:t>
      </w:r>
      <w:r w:rsidRPr="00665518">
        <w:rPr>
          <w:sz w:val="24"/>
          <w:szCs w:val="24"/>
        </w:rPr>
        <w:t>Revista Brasileira de Medicina do Esporte</w:t>
      </w:r>
      <w:r w:rsidRPr="00665518">
        <w:rPr>
          <w:b w:val="0"/>
          <w:sz w:val="24"/>
          <w:szCs w:val="24"/>
        </w:rPr>
        <w:t>. São Paulo, set/out., 2016. v. 55, n. 5, p. 412-419.</w:t>
      </w:r>
      <w:bookmarkEnd w:id="2"/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NEVES, D. C. G.; PEREIRA, R. V.; LIRA, D. S.; FIRMINO, I. C.; TABAI, K. C. Consumo de suplementos alimentares: alerta à saúde pública. Oikos: </w:t>
      </w:r>
      <w:r w:rsidRPr="00665518">
        <w:rPr>
          <w:sz w:val="24"/>
          <w:szCs w:val="24"/>
        </w:rPr>
        <w:t>Revista Brasileira de Economia Doméstica</w:t>
      </w:r>
      <w:r w:rsidRPr="00665518">
        <w:rPr>
          <w:b w:val="0"/>
          <w:sz w:val="24"/>
          <w:szCs w:val="24"/>
        </w:rPr>
        <w:t>, Viçosa, v. 28, n.1, p. 224-238, 2017.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OLIVEIRA, E. R. M.; TORRES, Z. M. C.; VIEIRA, R. C. S. Importância dada aos nutricionistas na prática do exercício físico pelos praticantes de musculação em academias de Maceió-AL. </w:t>
      </w:r>
      <w:r w:rsidRPr="00665518">
        <w:rPr>
          <w:sz w:val="24"/>
          <w:szCs w:val="24"/>
        </w:rPr>
        <w:t>Revista Brasileira de Nutrição Esportiva,</w:t>
      </w:r>
      <w:r w:rsidRPr="00665518">
        <w:rPr>
          <w:b w:val="0"/>
          <w:sz w:val="24"/>
          <w:szCs w:val="24"/>
        </w:rPr>
        <w:t xml:space="preserve"> São Paulo. v.2. n. 11. p. 381-389. Set/Out. 2008. 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853B33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853B33">
        <w:rPr>
          <w:b w:val="0"/>
          <w:sz w:val="24"/>
          <w:szCs w:val="24"/>
        </w:rPr>
        <w:t xml:space="preserve">OKUIZUMI, Arissa Matsuyama; SANTOS, Letícia Leal Dos; ROCHA, Sophia Araújo; CONDE, Giovanna Araujo; et al. Avaliação nutricional de adolescentes praticantes de atletismo. </w:t>
      </w:r>
      <w:r w:rsidRPr="00853B33">
        <w:rPr>
          <w:sz w:val="24"/>
          <w:szCs w:val="24"/>
        </w:rPr>
        <w:t>Revista Brasileira de Prescrição e Fisiologia do Exercício</w:t>
      </w:r>
      <w:r w:rsidRPr="00853B33">
        <w:rPr>
          <w:b w:val="0"/>
          <w:sz w:val="24"/>
          <w:szCs w:val="24"/>
        </w:rPr>
        <w:t>, São Paulo, v. 12, n. 80, supl. 3, p. 1130-1137, jul./dez. 2018.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PEREIRA, J. M. F.; COSTA, M. F. D.; CAVALCANTI, J. A. Estilo de vida saudável e busca de opinião no consumo de suplementos alimentares. </w:t>
      </w:r>
      <w:r w:rsidRPr="00665518">
        <w:rPr>
          <w:sz w:val="24"/>
          <w:szCs w:val="24"/>
        </w:rPr>
        <w:t>Revista de Administração da UFSM</w:t>
      </w:r>
      <w:r w:rsidRPr="00665518">
        <w:rPr>
          <w:b w:val="0"/>
          <w:sz w:val="24"/>
          <w:szCs w:val="24"/>
        </w:rPr>
        <w:t>, v. 14, n. 4, p. 750-768, 2021.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bookmarkStart w:id="3" w:name="_Toc131030495"/>
      <w:r w:rsidRPr="00665518">
        <w:rPr>
          <w:b w:val="0"/>
          <w:sz w:val="24"/>
          <w:szCs w:val="24"/>
        </w:rPr>
        <w:t xml:space="preserve">RAMOS, A; FARIA, P.M; FARIA, A. Revisão sistemática de literatura: contributo para inovação na investigação em Ciências da Educação. </w:t>
      </w:r>
      <w:r w:rsidRPr="00665518">
        <w:rPr>
          <w:sz w:val="24"/>
          <w:szCs w:val="24"/>
        </w:rPr>
        <w:t>Revista Diálogo Educacional, v.14</w:t>
      </w:r>
      <w:r w:rsidRPr="00665518">
        <w:rPr>
          <w:b w:val="0"/>
          <w:sz w:val="24"/>
          <w:szCs w:val="24"/>
        </w:rPr>
        <w:t xml:space="preserve">, n.42, p.17-36, 2014. Disponível em: </w:t>
      </w:r>
      <w:hyperlink r:id="rId5" w:history="1">
        <w:r w:rsidRPr="00665518">
          <w:rPr>
            <w:rStyle w:val="Hyperlink"/>
            <w:b w:val="0"/>
            <w:sz w:val="24"/>
            <w:szCs w:val="24"/>
          </w:rPr>
          <w:t>https://periodicos.pucpr.br/index.php/dial ogoeducacional/article/view/2269</w:t>
        </w:r>
      </w:hyperlink>
      <w:r w:rsidRPr="00665518">
        <w:rPr>
          <w:b w:val="0"/>
          <w:sz w:val="24"/>
          <w:szCs w:val="24"/>
        </w:rPr>
        <w:t xml:space="preserve"> Acesso em 27 de março de 2023 ás 19:00h.</w:t>
      </w:r>
      <w:bookmarkEnd w:id="3"/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RESENDE, G. B., Molinari, M. G., &amp; Silva, A. C. E. Efeitos adversos do uso inadequado de suplementos alimentares por praticantes de exercício físico. </w:t>
      </w:r>
      <w:r w:rsidRPr="00665518">
        <w:rPr>
          <w:sz w:val="24"/>
          <w:szCs w:val="24"/>
        </w:rPr>
        <w:t>Revista Saúde Multidisciplinar</w:t>
      </w:r>
      <w:r w:rsidRPr="00665518">
        <w:rPr>
          <w:b w:val="0"/>
          <w:sz w:val="24"/>
          <w:szCs w:val="24"/>
        </w:rPr>
        <w:t>, 3(1). 2015.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701592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701592">
        <w:rPr>
          <w:b w:val="0"/>
          <w:sz w:val="24"/>
          <w:szCs w:val="24"/>
        </w:rPr>
        <w:t xml:space="preserve">SALAZAR, A. S.; GARCÍA, A. M. C. Suplementos nutricionales en la industria del fitness. </w:t>
      </w:r>
      <w:r w:rsidRPr="00701592">
        <w:rPr>
          <w:sz w:val="24"/>
          <w:szCs w:val="24"/>
        </w:rPr>
        <w:t>Revista de Nutrición Clínica y Metabolismo</w:t>
      </w:r>
      <w:r w:rsidRPr="00701592">
        <w:rPr>
          <w:b w:val="0"/>
          <w:sz w:val="24"/>
          <w:szCs w:val="24"/>
        </w:rPr>
        <w:t>, v. 2, n. 2, p.60-66, 2019.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>SANTOS, E.A.; PEREIRA, F.B. Conhecimento sobre suplementos alimentares entre praticantes de exercício físico. RBNE-</w:t>
      </w:r>
      <w:r w:rsidRPr="00665518">
        <w:rPr>
          <w:sz w:val="24"/>
          <w:szCs w:val="24"/>
        </w:rPr>
        <w:t>Revista Brasileira de Nutrição Esportiva, v. 11,</w:t>
      </w:r>
      <w:r w:rsidRPr="00665518">
        <w:rPr>
          <w:b w:val="0"/>
          <w:sz w:val="24"/>
          <w:szCs w:val="24"/>
        </w:rPr>
        <w:t xml:space="preserve"> n. 62, p. 134-140, 2017.</w:t>
      </w:r>
    </w:p>
    <w:p w:rsidR="00C35416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SANTOS, J.R.M.P. </w:t>
      </w:r>
      <w:r w:rsidRPr="00665518">
        <w:rPr>
          <w:b w:val="0"/>
          <w:sz w:val="24"/>
          <w:szCs w:val="24"/>
        </w:rPr>
        <w:t xml:space="preserve">Importância de uma regulamentação específica com as definições e classificações dos produtos comercializados como suplementos alimentares, alimentos funcionais e nutracêuticos. </w:t>
      </w:r>
      <w:r w:rsidRPr="00665518">
        <w:rPr>
          <w:sz w:val="24"/>
          <w:szCs w:val="24"/>
        </w:rPr>
        <w:t>Revista de Direito Sanitário</w:t>
      </w:r>
      <w:r w:rsidRPr="00665518">
        <w:rPr>
          <w:b w:val="0"/>
          <w:sz w:val="24"/>
          <w:szCs w:val="24"/>
        </w:rPr>
        <w:t>, v. 19, n. 3, p. 54-67, 2019.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SILVA, F. R.; MENDES, A. E. P.; PINTO, F. J. M.; SAMPAIO, M. M.; MORAIS, V. D.; BRITO, F. C. R. Perfil nutricional e uso de suplementos alimentares: estudo com adultos praticantes de musculação. </w:t>
      </w:r>
      <w:r w:rsidRPr="00665518">
        <w:rPr>
          <w:sz w:val="24"/>
          <w:szCs w:val="24"/>
        </w:rPr>
        <w:t>Motricidade</w:t>
      </w:r>
      <w:r w:rsidRPr="00665518">
        <w:rPr>
          <w:b w:val="0"/>
          <w:sz w:val="24"/>
          <w:szCs w:val="24"/>
        </w:rPr>
        <w:t>, v. 14, n. 1, p. 271-8, 2018.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SILVA, A. C. G.; RODRIGUES, O. M. J. Riscos e benefícios no uso de </w:t>
      </w:r>
      <w:r w:rsidRPr="00665518">
        <w:rPr>
          <w:b w:val="0"/>
          <w:sz w:val="24"/>
          <w:szCs w:val="24"/>
        </w:rPr>
        <w:lastRenderedPageBreak/>
        <w:t xml:space="preserve">suplementos nutricionais na atividade física. </w:t>
      </w:r>
      <w:r w:rsidRPr="00665518">
        <w:rPr>
          <w:sz w:val="24"/>
          <w:szCs w:val="24"/>
        </w:rPr>
        <w:t>Brazilian Journal of Development, v. 6</w:t>
      </w:r>
      <w:r w:rsidRPr="00665518">
        <w:rPr>
          <w:b w:val="0"/>
          <w:sz w:val="24"/>
          <w:szCs w:val="24"/>
        </w:rPr>
        <w:t>, n. 12, p. 96770-96784, 2020.</w:t>
      </w: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</w:p>
    <w:p w:rsidR="00C35416" w:rsidRPr="00665518" w:rsidRDefault="00C35416" w:rsidP="00C35416">
      <w:pPr>
        <w:pStyle w:val="Ttulo1"/>
        <w:spacing w:before="0"/>
        <w:ind w:left="0"/>
        <w:jc w:val="both"/>
        <w:rPr>
          <w:b w:val="0"/>
          <w:sz w:val="24"/>
          <w:szCs w:val="24"/>
        </w:rPr>
      </w:pPr>
      <w:r w:rsidRPr="00665518">
        <w:rPr>
          <w:b w:val="0"/>
          <w:sz w:val="24"/>
          <w:szCs w:val="24"/>
        </w:rPr>
        <w:t xml:space="preserve">SOARES, G. M.; MOURA, A. S.; SILVA, T. G.; MOLZ, P.; FRANKE, S. I. R. Prevalência do uso de suplementação nutricional pelos praticantes de academia em Santa Cruz do Sul – RS, um estudo piloto. </w:t>
      </w:r>
      <w:r w:rsidRPr="00665518">
        <w:rPr>
          <w:sz w:val="24"/>
          <w:szCs w:val="24"/>
        </w:rPr>
        <w:t>Revista Brasileira Ciências e Esporte.</w:t>
      </w:r>
      <w:r w:rsidRPr="00665518">
        <w:rPr>
          <w:b w:val="0"/>
          <w:sz w:val="24"/>
          <w:szCs w:val="24"/>
        </w:rPr>
        <w:t>v. 6, n.11, 2020.</w:t>
      </w:r>
    </w:p>
    <w:p w:rsidR="00C35416" w:rsidRPr="005A7233" w:rsidRDefault="00C35416" w:rsidP="00C35416">
      <w:pPr>
        <w:pStyle w:val="Ttulo1"/>
        <w:spacing w:before="0"/>
        <w:ind w:left="0"/>
        <w:jc w:val="both"/>
        <w:rPr>
          <w:sz w:val="24"/>
          <w:szCs w:val="24"/>
        </w:rPr>
      </w:pPr>
    </w:p>
    <w:p w:rsidR="00C35416" w:rsidRPr="00F3016C" w:rsidRDefault="00C35416" w:rsidP="00C35416">
      <w:pPr>
        <w:pStyle w:val="Ttulo1"/>
        <w:spacing w:before="254" w:line="360" w:lineRule="auto"/>
        <w:ind w:left="0" w:right="898"/>
        <w:rPr>
          <w:sz w:val="24"/>
          <w:szCs w:val="24"/>
        </w:rPr>
      </w:pPr>
    </w:p>
    <w:p w:rsidR="00C35416" w:rsidRPr="00F3016C" w:rsidRDefault="00C35416" w:rsidP="00C35416">
      <w:pPr>
        <w:pStyle w:val="Ttulo1"/>
        <w:spacing w:before="254" w:line="360" w:lineRule="auto"/>
        <w:ind w:left="0" w:right="898"/>
        <w:rPr>
          <w:sz w:val="24"/>
          <w:szCs w:val="24"/>
        </w:rPr>
      </w:pPr>
    </w:p>
    <w:p w:rsidR="00C35416" w:rsidRDefault="00C35416" w:rsidP="00C35416"/>
    <w:p w:rsidR="00C35416" w:rsidRDefault="00C35416" w:rsidP="00C35416"/>
    <w:p w:rsidR="00C35416" w:rsidRDefault="00C35416" w:rsidP="00C35416"/>
    <w:p w:rsidR="00C35416" w:rsidRDefault="00C35416" w:rsidP="00C35416"/>
    <w:p w:rsidR="00C35416" w:rsidRDefault="00C35416" w:rsidP="00C35416"/>
    <w:p w:rsidR="00C35416" w:rsidRDefault="00C35416" w:rsidP="00C35416"/>
    <w:p w:rsidR="00C35416" w:rsidRDefault="00C35416" w:rsidP="00C35416"/>
    <w:p w:rsidR="00C35416" w:rsidRDefault="00C35416" w:rsidP="00C35416"/>
    <w:p w:rsidR="00C35416" w:rsidRDefault="00C35416" w:rsidP="00C35416"/>
    <w:p w:rsidR="00C35416" w:rsidRDefault="00C35416" w:rsidP="00C35416">
      <w:pPr>
        <w:jc w:val="center"/>
        <w:rPr>
          <w:rFonts w:ascii="Arial" w:hAnsi="Arial" w:cs="Arial"/>
          <w:b/>
          <w:sz w:val="24"/>
          <w:szCs w:val="24"/>
        </w:rPr>
      </w:pPr>
    </w:p>
    <w:p w:rsidR="00C35416" w:rsidRDefault="00C35416" w:rsidP="00C35416">
      <w:pPr>
        <w:jc w:val="center"/>
        <w:rPr>
          <w:rFonts w:ascii="Arial" w:hAnsi="Arial" w:cs="Arial"/>
          <w:b/>
          <w:sz w:val="24"/>
          <w:szCs w:val="24"/>
        </w:rPr>
      </w:pPr>
    </w:p>
    <w:p w:rsidR="00C35416" w:rsidRDefault="00C35416" w:rsidP="00C35416">
      <w:pPr>
        <w:jc w:val="center"/>
        <w:rPr>
          <w:rFonts w:ascii="Arial" w:hAnsi="Arial" w:cs="Arial"/>
          <w:b/>
          <w:sz w:val="24"/>
          <w:szCs w:val="24"/>
        </w:rPr>
      </w:pPr>
    </w:p>
    <w:p w:rsidR="00C35416" w:rsidRPr="00C35416" w:rsidRDefault="00C35416" w:rsidP="00C35416">
      <w:pPr>
        <w:pStyle w:val="Ttulo1"/>
        <w:spacing w:before="0" w:line="360" w:lineRule="auto"/>
        <w:ind w:left="0"/>
        <w:jc w:val="both"/>
        <w:rPr>
          <w:sz w:val="22"/>
          <w:szCs w:val="22"/>
        </w:rPr>
      </w:pPr>
    </w:p>
    <w:p w:rsidR="000F248A" w:rsidRPr="000F248A" w:rsidRDefault="000F248A" w:rsidP="000F248A">
      <w:pPr>
        <w:pStyle w:val="Ttulo1"/>
        <w:spacing w:before="0" w:line="360" w:lineRule="auto"/>
        <w:ind w:left="0"/>
        <w:jc w:val="both"/>
        <w:rPr>
          <w:sz w:val="22"/>
          <w:szCs w:val="22"/>
        </w:rPr>
      </w:pPr>
    </w:p>
    <w:p w:rsidR="00EF7315" w:rsidRPr="00EF7315" w:rsidRDefault="00EF7315" w:rsidP="00EF7315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F7315" w:rsidRPr="00A3337A" w:rsidRDefault="00EF7315" w:rsidP="00EF7315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EF7315" w:rsidRPr="00A3337A" w:rsidRDefault="00EF7315" w:rsidP="00EF7315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A3337A">
        <w:rPr>
          <w:rFonts w:ascii="Arial" w:hAnsi="Arial" w:cs="Arial"/>
        </w:rPr>
        <w:t xml:space="preserve"> </w:t>
      </w:r>
    </w:p>
    <w:p w:rsidR="002B7108" w:rsidRPr="00EF7315" w:rsidRDefault="002B7108" w:rsidP="002B7108">
      <w:pPr>
        <w:jc w:val="center"/>
        <w:rPr>
          <w:rFonts w:ascii="Arial" w:hAnsi="Arial" w:cs="Arial"/>
          <w:sz w:val="20"/>
          <w:szCs w:val="20"/>
          <w:lang w:val="pt-PT"/>
        </w:rPr>
      </w:pPr>
    </w:p>
    <w:sectPr w:rsidR="002B7108" w:rsidRPr="00EF7315" w:rsidSect="00B66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7108"/>
    <w:rsid w:val="000F248A"/>
    <w:rsid w:val="002B7108"/>
    <w:rsid w:val="00B66C31"/>
    <w:rsid w:val="00C35416"/>
    <w:rsid w:val="00E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31"/>
  </w:style>
  <w:style w:type="paragraph" w:styleId="Ttulo1">
    <w:name w:val="heading 1"/>
    <w:basedOn w:val="Normal"/>
    <w:link w:val="Ttulo1Char"/>
    <w:uiPriority w:val="1"/>
    <w:qFormat/>
    <w:rsid w:val="00EF7315"/>
    <w:pPr>
      <w:widowControl w:val="0"/>
      <w:autoSpaceDE w:val="0"/>
      <w:autoSpaceDN w:val="0"/>
      <w:spacing w:before="94" w:after="0" w:line="240" w:lineRule="auto"/>
      <w:ind w:left="528"/>
      <w:outlineLvl w:val="0"/>
    </w:pPr>
    <w:rPr>
      <w:rFonts w:ascii="Arial" w:eastAsia="Arial" w:hAnsi="Arial" w:cs="Arial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EF73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7315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F7315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DecimalAligned">
    <w:name w:val="Decimal Aligned"/>
    <w:basedOn w:val="Normal"/>
    <w:uiPriority w:val="40"/>
    <w:qFormat/>
    <w:rsid w:val="000F248A"/>
    <w:pPr>
      <w:tabs>
        <w:tab w:val="decimal" w:pos="360"/>
      </w:tabs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F248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F248A"/>
    <w:rPr>
      <w:rFonts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0F248A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styleId="SombreamentoMdio2-nfase5">
    <w:name w:val="Medium Shading 2 Accent 5"/>
    <w:basedOn w:val="Tabelanormal"/>
    <w:uiPriority w:val="64"/>
    <w:rsid w:val="000F248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1"/>
    <w:locked/>
    <w:rsid w:val="000F248A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link w:val="PargrafodaListaChar"/>
    <w:uiPriority w:val="1"/>
    <w:qFormat/>
    <w:rsid w:val="000F248A"/>
    <w:pPr>
      <w:widowControl w:val="0"/>
      <w:autoSpaceDE w:val="0"/>
      <w:autoSpaceDN w:val="0"/>
      <w:spacing w:before="94" w:after="0" w:line="240" w:lineRule="auto"/>
      <w:ind w:left="528" w:hanging="309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C35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iodicos.pucpr.br/index.php/dial%20ogoeducacional/article/view/2269" TargetMode="External"/><Relationship Id="rId4" Type="http://schemas.openxmlformats.org/officeDocument/2006/relationships/hyperlink" Target="https://www.gov.br/anvisa/pt-br/assuntos/alimentos/suplementos-alimentar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2286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Ludmylla</dc:creator>
  <cp:lastModifiedBy>Ludmylla</cp:lastModifiedBy>
  <cp:revision>2</cp:revision>
  <dcterms:created xsi:type="dcterms:W3CDTF">2023-10-31T16:03:00Z</dcterms:created>
  <dcterms:modified xsi:type="dcterms:W3CDTF">2023-10-31T16:03:00Z</dcterms:modified>
</cp:coreProperties>
</file>